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0027BE">
      <w:pPr>
        <w:spacing w:before="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pict>
          <v:shape id="_x00000" o:spid="_x0000_s1026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" o:spid="_x0000_s1027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2" o:spid="_x0000_s1028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3" o:spid="_x0000_s1029" o:spt="75" type="#_x0000_t75" style="position:absolute;left:0pt;margin-left:108.55pt;margin-top:344.95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2"/>
          <w:sz w:val="24"/>
        </w:rPr>
        <w:t>绝密★启用前</w:t>
      </w:r>
    </w:p>
    <w:p w14:paraId="71E13D47">
      <w:pPr>
        <w:spacing w:before="249" w:after="0" w:line="359" w:lineRule="exact"/>
        <w:ind w:left="211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年普通高等学校招生全国统一考试</w:t>
      </w:r>
    </w:p>
    <w:p w14:paraId="6272215E">
      <w:pPr>
        <w:spacing w:before="275" w:after="0" w:line="325" w:lineRule="exact"/>
        <w:ind w:left="423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生物试题</w:t>
      </w:r>
    </w:p>
    <w:p w14:paraId="40194027">
      <w:pPr>
        <w:spacing w:before="25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77ACEA58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</w:t>
      </w:r>
      <w:r>
        <w:rPr>
          <w:rFonts w:ascii="宋体" w:hAnsi="宋体" w:cs="宋体"/>
          <w:color w:val="000000"/>
          <w:spacing w:val="1"/>
          <w:sz w:val="24"/>
        </w:rPr>
        <w:t>．答题前，考生务必将自己的姓名、准考证号填写在答题卡上。</w:t>
      </w:r>
    </w:p>
    <w:p w14:paraId="7BA6959A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</w:t>
      </w:r>
      <w:r>
        <w:rPr>
          <w:rFonts w:ascii="宋体" w:hAnsi="宋体" w:cs="宋体"/>
          <w:color w:val="000000"/>
          <w:spacing w:val="1"/>
          <w:sz w:val="24"/>
        </w:rPr>
        <w:t>．回答选择题时，选出每小题答案后，用铅笔把答题卡上对应题目的答案标号涂黑。如需改</w:t>
      </w:r>
    </w:p>
    <w:p w14:paraId="1F4E7960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动，用橡皮擦干净后，再选涂其他答案标号。回答非选择题时，将案写在答题卡上。写在本</w:t>
      </w:r>
    </w:p>
    <w:p w14:paraId="25A26F87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试卷上无效。</w:t>
      </w:r>
    </w:p>
    <w:p w14:paraId="6096D31E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</w:t>
      </w:r>
      <w:r>
        <w:rPr>
          <w:rFonts w:ascii="宋体" w:hAnsi="宋体" w:cs="宋体"/>
          <w:color w:val="000000"/>
          <w:spacing w:val="1"/>
          <w:sz w:val="24"/>
        </w:rPr>
        <w:t>．考试结束后，监考员将试卷、答题卡一并交回。</w:t>
      </w:r>
    </w:p>
    <w:p w14:paraId="4D490786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一、单项选择题：本题共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</w:t>
      </w:r>
    </w:p>
    <w:p w14:paraId="78FF165C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4"/>
        </w:rPr>
        <w:t>有一项是最符合</w:t>
      </w:r>
      <w:r>
        <w:rPr>
          <w:rFonts w:ascii="宋体" w:hAnsi="宋体" w:cs="宋体"/>
          <w:color w:val="000000"/>
          <w:spacing w:val="0"/>
          <w:sz w:val="21"/>
        </w:rPr>
        <w:t>题目要求的。</w:t>
      </w:r>
    </w:p>
    <w:p w14:paraId="467C3F71">
      <w:pPr>
        <w:spacing w:before="34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真核细胞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核孔含有多种蛋白质，这些蛋白质的主要区别是（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AA1C92E">
      <w:pPr>
        <w:spacing w:before="26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基本组成元素不同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单体连接方式不同</w:t>
      </w:r>
    </w:p>
    <w:p w14:paraId="1C2D810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肽链空间结构不同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合成加工场所不同</w:t>
      </w:r>
    </w:p>
    <w:p w14:paraId="3A3406D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我国大熊猫保护工作已取得显著成效，但仍面临部分种群遗传多样性较低的问题。下列措施中不属于保</w:t>
      </w:r>
    </w:p>
    <w:p w14:paraId="786DE53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护大熊猫遗传多样性的是（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6F268F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选繁殖能力强的个体进行人工繁育</w:t>
      </w:r>
    </w:p>
    <w:p w14:paraId="10BA5BF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建立基因库保存不同种群的遗传材料</w:t>
      </w:r>
    </w:p>
    <w:p w14:paraId="7B6BAFE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建立生态走廊促进种群间基因交流</w:t>
      </w:r>
    </w:p>
    <w:p w14:paraId="721F654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在隔离的小种群中引入野化放归个体</w:t>
      </w:r>
    </w:p>
    <w:p w14:paraId="2125379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通俗地说，细胞自噬就是细胞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吃掉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自身的结构和物质。下列叙述错误的是（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E7B78E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溶酶体作为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消化车间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可为细胞自噬过程提供水解酶</w:t>
      </w:r>
    </w:p>
    <w:p w14:paraId="5778784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线粒体作为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动力车间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为细胞自噬过程提供所需能量</w:t>
      </w:r>
    </w:p>
    <w:p w14:paraId="4A272A7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细胞自噬产生的氨基酸可作为原料重新用于蛋白质合成</w:t>
      </w:r>
    </w:p>
    <w:p w14:paraId="783F679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细胞自噬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吃掉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细胞器不利于维持细胞内部环境稳定</w:t>
      </w:r>
    </w:p>
    <w:p w14:paraId="21875A01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某细菌能将组氨酸脱羧生成组胺和</w:t>
      </w:r>
      <w:r>
        <w:rPr>
          <w:rFonts w:ascii="Times New Roman"/>
          <w:color w:val="000000"/>
          <w:spacing w:val="0"/>
          <w:sz w:val="21"/>
        </w:rPr>
        <w:t xml:space="preserve"> CO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，相关物质的跨膜运输过程如下图。下列叙述正确的是（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075F557">
      <w:pPr>
        <w:spacing w:before="150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F7F0FA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2964A37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55E7207">
      <w:pPr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33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4E28C9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DD427BA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4" o:spid="_x0000_s1030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5" o:spid="_x0000_s1031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6" o:spid="_x0000_s1032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7" o:spid="_x0000_s1033" o:spt="75" type="#_x0000_t75" style="position:absolute;left:0pt;margin-left:53pt;margin-top:67.3pt;height:138.6pt;width:182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pict>
          <v:shape id="_x00008" o:spid="_x0000_s1034" o:spt="75" type="#_x0000_t75" style="position:absolute;left:0pt;margin-left:119.8pt;margin-top:491.25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转运蛋白</w:t>
      </w:r>
      <w:r>
        <w:rPr>
          <w:rFonts w:ascii="Times New Roman"/>
          <w:color w:val="000000"/>
          <w:spacing w:val="0"/>
          <w:sz w:val="21"/>
        </w:rPr>
        <w:t xml:space="preserve"> W </w:t>
      </w:r>
      <w:r>
        <w:rPr>
          <w:rFonts w:ascii="宋体" w:hAnsi="宋体" w:cs="宋体"/>
          <w:color w:val="000000"/>
          <w:spacing w:val="0"/>
          <w:sz w:val="21"/>
        </w:rPr>
        <w:t>可协助组氨酸逆浓度梯度进入细胞</w:t>
      </w:r>
    </w:p>
    <w:p w14:paraId="1F67818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胞内产生的组胺跨膜运输过程需要消耗能量</w:t>
      </w:r>
    </w:p>
    <w:p w14:paraId="62C685A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转运蛋白</w:t>
      </w:r>
      <w:r>
        <w:rPr>
          <w:rFonts w:ascii="Times New Roman"/>
          <w:color w:val="000000"/>
          <w:spacing w:val="0"/>
          <w:sz w:val="21"/>
        </w:rPr>
        <w:t xml:space="preserve"> W </w:t>
      </w:r>
      <w:r>
        <w:rPr>
          <w:rFonts w:ascii="宋体" w:hAnsi="宋体" w:cs="宋体"/>
          <w:color w:val="000000"/>
          <w:spacing w:val="0"/>
          <w:sz w:val="21"/>
        </w:rPr>
        <w:t>能同时转运两种物质，故不具特异性</w:t>
      </w:r>
    </w:p>
    <w:p w14:paraId="13892359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 CO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分子经自由扩散，只能从胞内运输到胞外</w:t>
      </w:r>
    </w:p>
    <w:p w14:paraId="6081D734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下列以土豆为材料的实验描述，错误的是（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631E99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土豆</w:t>
      </w:r>
      <w:r>
        <w:rPr>
          <w:rFonts w:ascii="Times New Roman"/>
          <w:color w:val="000000"/>
          <w:spacing w:val="0"/>
          <w:sz w:val="21"/>
        </w:rPr>
        <w:t xml:space="preserve"> DNA </w:t>
      </w:r>
      <w:r>
        <w:rPr>
          <w:rFonts w:ascii="宋体" w:hAnsi="宋体" w:cs="宋体"/>
          <w:color w:val="000000"/>
          <w:spacing w:val="0"/>
          <w:sz w:val="21"/>
        </w:rPr>
        <w:t>溶于酒精后，与二苯胺试剂混合呈蓝色</w:t>
      </w:r>
    </w:p>
    <w:p w14:paraId="1D10B47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向土豆匀浆中加入一定量的碘液后，溶液会呈蓝色</w:t>
      </w:r>
    </w:p>
    <w:p w14:paraId="2CF9D4C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利用土豆匀浆制备的培养基，可用于酵母菌的培养</w:t>
      </w:r>
    </w:p>
    <w:p w14:paraId="334B2C8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土豆中的过氧化氢酶可用于探究</w:t>
      </w:r>
      <w:r>
        <w:rPr>
          <w:rFonts w:ascii="Times New Roman"/>
          <w:color w:val="000000"/>
          <w:spacing w:val="0"/>
          <w:sz w:val="21"/>
        </w:rPr>
        <w:t xml:space="preserve"> pH </w:t>
      </w:r>
      <w:r>
        <w:rPr>
          <w:rFonts w:ascii="宋体" w:hAnsi="宋体" w:cs="宋体"/>
          <w:color w:val="000000"/>
          <w:spacing w:val="0"/>
          <w:sz w:val="21"/>
        </w:rPr>
        <w:t>对酶活性的影响</w:t>
      </w:r>
    </w:p>
    <w:p w14:paraId="2556C40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研究人员用花椰菜（</w:t>
      </w:r>
      <w:r>
        <w:rPr>
          <w:rFonts w:ascii="Times New Roman"/>
          <w:color w:val="000000"/>
          <w:spacing w:val="0"/>
          <w:sz w:val="21"/>
        </w:rPr>
        <w:t>BB</w:t>
      </w:r>
      <w:r>
        <w:rPr>
          <w:rFonts w:ascii="宋体" w:hAnsi="宋体" w:cs="宋体"/>
          <w:color w:val="000000"/>
          <w:spacing w:val="-1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2n=18</w:t>
      </w:r>
      <w:r>
        <w:rPr>
          <w:rFonts w:ascii="宋体" w:hAnsi="宋体" w:cs="宋体"/>
          <w:color w:val="000000"/>
          <w:spacing w:val="0"/>
          <w:sz w:val="21"/>
        </w:rPr>
        <w:t>）根与黑芥（</w:t>
      </w:r>
      <w:r>
        <w:rPr>
          <w:rFonts w:ascii="Times New Roman"/>
          <w:color w:val="000000"/>
          <w:spacing w:val="0"/>
          <w:sz w:val="21"/>
        </w:rPr>
        <w:t>CC</w:t>
      </w:r>
      <w:r>
        <w:rPr>
          <w:rFonts w:ascii="宋体" w:hAnsi="宋体" w:cs="宋体"/>
          <w:color w:val="000000"/>
          <w:spacing w:val="-1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2n=16</w:t>
      </w:r>
      <w:r>
        <w:rPr>
          <w:rFonts w:ascii="宋体" w:hAnsi="宋体" w:cs="宋体"/>
          <w:color w:val="000000"/>
          <w:spacing w:val="0"/>
          <w:sz w:val="21"/>
        </w:rPr>
        <w:t>）叶片分别制备原生质体，经</w:t>
      </w:r>
      <w:r>
        <w:rPr>
          <w:rFonts w:ascii="Times New Roman"/>
          <w:color w:val="000000"/>
          <w:spacing w:val="0"/>
          <w:sz w:val="21"/>
        </w:rPr>
        <w:t xml:space="preserve"> PEG </w:t>
      </w:r>
      <w:r>
        <w:rPr>
          <w:rFonts w:ascii="宋体" w:hAnsi="宋体" w:cs="宋体"/>
          <w:color w:val="000000"/>
          <w:spacing w:val="0"/>
          <w:sz w:val="21"/>
        </w:rPr>
        <w:t>诱导融合形</w:t>
      </w:r>
    </w:p>
    <w:p w14:paraId="26B45B5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成杂种细胞，进一步培养获得再生植株，其中的植株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经鉴定有</w:t>
      </w:r>
      <w:r>
        <w:rPr>
          <w:rFonts w:ascii="Times New Roman"/>
          <w:color w:val="000000"/>
          <w:spacing w:val="0"/>
          <w:sz w:val="21"/>
        </w:rPr>
        <w:t xml:space="preserve"> 33 </w:t>
      </w:r>
      <w:r>
        <w:rPr>
          <w:rFonts w:ascii="宋体" w:hAnsi="宋体" w:cs="宋体"/>
          <w:color w:val="000000"/>
          <w:spacing w:val="0"/>
          <w:sz w:val="21"/>
        </w:rPr>
        <w:t>条染色体。下列叙述正确的是（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3CD674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两个原生质体融合形成的细胞即为杂种细胞</w:t>
      </w:r>
    </w:p>
    <w:p w14:paraId="6D4A0A8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再生植株</w:t>
      </w:r>
      <w:r>
        <w:rPr>
          <w:rFonts w:ascii="Times New Roman"/>
          <w:color w:val="000000"/>
          <w:spacing w:val="0"/>
          <w:sz w:val="21"/>
        </w:rPr>
        <w:t xml:space="preserve"> N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形成证明杂种细胞仍具有全能性</w:t>
      </w:r>
    </w:p>
    <w:p w14:paraId="492D6B4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花椰菜和黑芥的原生质体能融合，证明两种植物间不存在生殖隔离</w:t>
      </w:r>
    </w:p>
    <w:p w14:paraId="725C1E4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植株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组和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组染色体不能正常联会配对，无法产生可育配子</w:t>
      </w:r>
    </w:p>
    <w:p w14:paraId="4C3BEA2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为杀死蜜蜂寄生虫瓦螨，研究人员对蜜蜂肠道中的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S</w:t>
      </w:r>
      <w:r>
        <w:rPr>
          <w:rFonts w:ascii="Times New Roman"/>
          <w:color w:val="000000"/>
          <w:spacing w:val="-11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菌进行改造，使其能释放特定的双链</w:t>
      </w:r>
      <w:r>
        <w:rPr>
          <w:rFonts w:ascii="Times New Roman"/>
          <w:color w:val="000000"/>
          <w:spacing w:val="-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RNA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dsRNA</w:t>
      </w:r>
      <w:r>
        <w:rPr>
          <w:rFonts w:ascii="宋体" w:hAnsi="宋体" w:cs="宋体"/>
          <w:color w:val="000000"/>
          <w:spacing w:val="-105"/>
          <w:sz w:val="21"/>
        </w:rPr>
        <w:t>）。</w:t>
      </w:r>
    </w:p>
    <w:p w14:paraId="43F3BD1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进入瓦螨体内的</w:t>
      </w:r>
      <w:r>
        <w:rPr>
          <w:rFonts w:ascii="Times New Roman"/>
          <w:color w:val="000000"/>
          <w:spacing w:val="0"/>
          <w:sz w:val="21"/>
        </w:rPr>
        <w:t xml:space="preserve"> dsRNA </w:t>
      </w:r>
      <w:r>
        <w:rPr>
          <w:rFonts w:ascii="宋体" w:hAnsi="宋体" w:cs="宋体"/>
          <w:color w:val="000000"/>
          <w:spacing w:val="0"/>
          <w:sz w:val="21"/>
        </w:rPr>
        <w:t>被加工成</w:t>
      </w:r>
      <w:r>
        <w:rPr>
          <w:rFonts w:ascii="Times New Roman"/>
          <w:color w:val="000000"/>
          <w:spacing w:val="0"/>
          <w:sz w:val="21"/>
        </w:rPr>
        <w:t xml:space="preserve"> siRNA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后，能与瓦螨目标基因的</w:t>
      </w:r>
      <w:r>
        <w:rPr>
          <w:rFonts w:ascii="Times New Roman"/>
          <w:color w:val="000000"/>
          <w:spacing w:val="0"/>
          <w:sz w:val="21"/>
        </w:rPr>
        <w:t xml:space="preserve"> mRNA </w:t>
      </w:r>
      <w:r>
        <w:rPr>
          <w:rFonts w:ascii="宋体" w:hAnsi="宋体" w:cs="宋体"/>
          <w:color w:val="000000"/>
          <w:spacing w:val="0"/>
          <w:sz w:val="21"/>
        </w:rPr>
        <w:t>特异性结合使其降解，导致瓦螨</w:t>
      </w:r>
    </w:p>
    <w:p w14:paraId="1E71B85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死亡。下列叙述正确的是（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07DA39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siRNA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的嘌呤与嘧啶之比和</w:t>
      </w:r>
      <w:r>
        <w:rPr>
          <w:rFonts w:ascii="Times New Roman"/>
          <w:color w:val="000000"/>
          <w:spacing w:val="0"/>
          <w:sz w:val="21"/>
        </w:rPr>
        <w:t xml:space="preserve"> dsRNA </w:t>
      </w:r>
      <w:r>
        <w:rPr>
          <w:rFonts w:ascii="宋体" w:hAnsi="宋体" w:cs="宋体"/>
          <w:color w:val="000000"/>
          <w:spacing w:val="0"/>
          <w:sz w:val="21"/>
        </w:rPr>
        <w:t>相同</w:t>
      </w:r>
    </w:p>
    <w:p w14:paraId="3833489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dsRNA </w:t>
      </w:r>
      <w:r>
        <w:rPr>
          <w:rFonts w:ascii="宋体" w:hAnsi="宋体" w:cs="宋体"/>
          <w:color w:val="000000"/>
          <w:spacing w:val="0"/>
          <w:sz w:val="21"/>
        </w:rPr>
        <w:t>加工成</w:t>
      </w:r>
      <w:r>
        <w:rPr>
          <w:rFonts w:ascii="Times New Roman"/>
          <w:color w:val="000000"/>
          <w:spacing w:val="0"/>
          <w:sz w:val="21"/>
        </w:rPr>
        <w:t xml:space="preserve"> siRNA </w:t>
      </w:r>
      <w:r>
        <w:rPr>
          <w:rFonts w:ascii="宋体" w:hAnsi="宋体" w:cs="宋体"/>
          <w:color w:val="000000"/>
          <w:spacing w:val="0"/>
          <w:sz w:val="21"/>
        </w:rPr>
        <w:t>会发生氢键的断裂</w:t>
      </w:r>
    </w:p>
    <w:p w14:paraId="26ADA83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瓦螨死亡的原因是目标基因的转录被抑制</w:t>
      </w:r>
    </w:p>
    <w:p w14:paraId="04A169F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用改造后的</w:t>
      </w:r>
      <w:r>
        <w:rPr>
          <w:rFonts w:ascii="Times New Roman"/>
          <w:color w:val="000000"/>
          <w:spacing w:val="0"/>
          <w:sz w:val="21"/>
        </w:rPr>
        <w:t xml:space="preserve"> S </w:t>
      </w:r>
      <w:r>
        <w:rPr>
          <w:rFonts w:ascii="宋体" w:hAnsi="宋体" w:cs="宋体"/>
          <w:color w:val="000000"/>
          <w:spacing w:val="0"/>
          <w:sz w:val="21"/>
        </w:rPr>
        <w:t>菌来杀死瓦螨属于化学防治</w:t>
      </w:r>
    </w:p>
    <w:p w14:paraId="282DD39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微塑料由塑料废弃物风化形成，难以降解，会危害生态环境和人体健康。有人分离到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Y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两种微塑料</w:t>
      </w:r>
    </w:p>
    <w:p w14:paraId="0C5CF8E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降解菌，将总菌量相同的</w:t>
      </w:r>
      <w:r>
        <w:rPr>
          <w:rFonts w:ascii="Times New Roman"/>
          <w:color w:val="000000"/>
          <w:spacing w:val="0"/>
          <w:sz w:val="21"/>
        </w:rPr>
        <w:t xml:space="preserve"> X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Y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X+Y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X:Y=1:1</w:t>
      </w:r>
      <w:r>
        <w:rPr>
          <w:rFonts w:ascii="宋体" w:hAnsi="宋体" w:cs="宋体"/>
          <w:color w:val="000000"/>
          <w:spacing w:val="0"/>
          <w:sz w:val="21"/>
        </w:rPr>
        <w:t>）分别接种于含有等量微塑料的蛋白胨液体培养基中，培</w:t>
      </w:r>
    </w:p>
    <w:p w14:paraId="15CBE99B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93C52DC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992F807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0AA43B8">
      <w:pPr>
        <w:sectPr>
          <w:pgSz w:w="11900" w:h="16840"/>
          <w:pgMar w:top="425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F863E7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DF3A2FC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9" o:spid="_x0000_s1035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0" o:spid="_x0000_s1036" o:spt="75" type="#_x0000_t75" style="position:absolute;left:0pt;margin-left:53pt;margin-top:382.5pt;height:147.6pt;width:393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" o:title=""/>
            <o:lock v:ext="edit" aspectratio="t"/>
          </v:shape>
        </w:pict>
      </w:r>
      <w:r>
        <w:pict>
          <v:shape id="_x000011" o:spid="_x0000_s1037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2" o:spid="_x0000_s1038" o:spt="75" type="#_x0000_t75" style="position:absolute;left:0pt;margin-left:53pt;margin-top:118.3pt;height:113.8pt;width:235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-2"/>
          <w:sz w:val="21"/>
        </w:rPr>
        <w:t>养一段时间后测定微塑料的残留率（残留率</w:t>
      </w:r>
      <w:r>
        <w:rPr>
          <w:rFonts w:ascii="Times New Roman"/>
          <w:color w:val="000000"/>
          <w:spacing w:val="0"/>
          <w:sz w:val="21"/>
        </w:rPr>
        <w:t>=</w:t>
      </w:r>
      <w:r>
        <w:rPr>
          <w:rFonts w:ascii="宋体" w:hAnsi="宋体" w:cs="宋体"/>
          <w:color w:val="000000"/>
          <w:spacing w:val="0"/>
          <w:sz w:val="21"/>
        </w:rPr>
        <w:t>剩余量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添加量</w:t>
      </w:r>
      <w:r>
        <w:rPr>
          <w:rFonts w:ascii="Times New Roman" w:hAnsi="Times New Roman" w:cs="Times New Roman"/>
          <w:color w:val="000000"/>
          <w:spacing w:val="0"/>
          <w:sz w:val="21"/>
        </w:rPr>
        <w:t>×100%</w:t>
      </w:r>
      <w:r>
        <w:rPr>
          <w:rFonts w:ascii="宋体" w:hAnsi="宋体" w:cs="宋体"/>
          <w:color w:val="000000"/>
          <w:spacing w:val="-14"/>
          <w:sz w:val="21"/>
        </w:rPr>
        <w:t>），结果如下图。下列叙述正确的是（</w:t>
      </w:r>
    </w:p>
    <w:p w14:paraId="6DEA7BA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40665A8">
      <w:pPr>
        <w:spacing w:before="273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用平板划线法能测定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菌组中的活菌数</w:t>
      </w:r>
    </w:p>
    <w:p w14:paraId="4B44F5E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Y </w:t>
      </w:r>
      <w:r>
        <w:rPr>
          <w:rFonts w:ascii="宋体" w:hAnsi="宋体" w:cs="宋体"/>
          <w:color w:val="000000"/>
          <w:spacing w:val="0"/>
          <w:sz w:val="21"/>
        </w:rPr>
        <w:t>菌组微塑料残留率较高，故菌浓度也高</w:t>
      </w:r>
    </w:p>
    <w:p w14:paraId="3715DA9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混合菌种对微塑料的降解能力高于单一菌种</w:t>
      </w:r>
    </w:p>
    <w:p w14:paraId="0EA75F5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能在该培养基中生长繁殖的微生物都能降解微塑料</w:t>
      </w:r>
    </w:p>
    <w:p w14:paraId="0A53929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为更好地保护草原生态系统，有人对某草原两种鼠类及其天敌的昼夜相对活动频次进行统计，结果如下</w:t>
      </w:r>
    </w:p>
    <w:p w14:paraId="6B3896D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图。下列推断不合理的是（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EB24B67">
      <w:pPr>
        <w:spacing w:before="335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子午沙鼠的昼夜活动节律主要受到了兔狲的影响</w:t>
      </w:r>
    </w:p>
    <w:p w14:paraId="49FF74E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两种鼠类的活动节律显示它们已发生生态位分化</w:t>
      </w:r>
    </w:p>
    <w:p w14:paraId="4A2527B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两种天敌间的竞争比两种沙鼠间的竞争更为激烈</w:t>
      </w:r>
    </w:p>
    <w:p w14:paraId="74865C2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一定数量的兔狲和赤狐有利于维持草原生态平衡</w:t>
      </w:r>
    </w:p>
    <w:p w14:paraId="42F9891E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 D-</w:t>
      </w:r>
      <w:r>
        <w:rPr>
          <w:rFonts w:ascii="宋体" w:hAnsi="宋体" w:cs="宋体"/>
          <w:color w:val="000000"/>
          <w:spacing w:val="-1"/>
          <w:sz w:val="21"/>
        </w:rPr>
        <w:t>阿洛酮糖是一种低热量多功能糖，有助于肥胖人群的体重管理。</w:t>
      </w:r>
      <w:r>
        <w:rPr>
          <w:rFonts w:ascii="Times New Roman"/>
          <w:color w:val="000000"/>
          <w:spacing w:val="0"/>
          <w:sz w:val="21"/>
        </w:rPr>
        <w:t>Co</w:t>
      </w:r>
      <w:r>
        <w:rPr>
          <w:rFonts w:ascii="Times New Roman"/>
          <w:color w:val="000000"/>
          <w:spacing w:val="0"/>
          <w:sz w:val="23"/>
          <w:vertAlign w:val="superscript"/>
        </w:rPr>
        <w:t>2+</w:t>
      </w:r>
      <w:r>
        <w:rPr>
          <w:rFonts w:ascii="宋体" w:hAnsi="宋体" w:cs="宋体"/>
          <w:color w:val="000000"/>
          <w:spacing w:val="0"/>
          <w:sz w:val="21"/>
        </w:rPr>
        <w:t>可协助酶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Y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催化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D-</w:t>
      </w:r>
      <w:r>
        <w:rPr>
          <w:rFonts w:ascii="宋体" w:hAnsi="宋体" w:cs="宋体"/>
          <w:color w:val="000000"/>
          <w:spacing w:val="0"/>
          <w:sz w:val="21"/>
        </w:rPr>
        <w:t>果糖转化为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</w:p>
    <w:p w14:paraId="38C7F40F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宋体" w:hAnsi="宋体" w:cs="宋体"/>
          <w:color w:val="000000"/>
          <w:spacing w:val="-2"/>
          <w:sz w:val="21"/>
        </w:rPr>
        <w:t>阿洛酮糖。有人在相同体积、相同酶量且最适反应条件（含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Co</w:t>
      </w:r>
      <w:r>
        <w:rPr>
          <w:rFonts w:ascii="Times New Roman"/>
          <w:color w:val="000000"/>
          <w:spacing w:val="0"/>
          <w:sz w:val="23"/>
          <w:vertAlign w:val="superscript"/>
        </w:rPr>
        <w:t>2+</w:t>
      </w:r>
      <w:r>
        <w:rPr>
          <w:rFonts w:ascii="宋体" w:hAnsi="宋体" w:cs="宋体"/>
          <w:color w:val="000000"/>
          <w:spacing w:val="-3"/>
          <w:sz w:val="21"/>
        </w:rPr>
        <w:t>条件）下，测定不同浓度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D-</w:t>
      </w:r>
      <w:r>
        <w:rPr>
          <w:rFonts w:ascii="宋体" w:hAnsi="宋体" w:cs="宋体"/>
          <w:color w:val="000000"/>
          <w:spacing w:val="0"/>
          <w:sz w:val="21"/>
        </w:rPr>
        <w:t>果糖的转化率</w:t>
      </w:r>
    </w:p>
    <w:p w14:paraId="137D2E2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（转化率</w:t>
      </w:r>
      <w:r>
        <w:rPr>
          <w:rFonts w:ascii="Times New Roman"/>
          <w:color w:val="000000"/>
          <w:spacing w:val="0"/>
          <w:sz w:val="21"/>
        </w:rPr>
        <w:t>=</w:t>
      </w:r>
      <w:r>
        <w:rPr>
          <w:rFonts w:ascii="宋体" w:hAnsi="宋体" w:cs="宋体"/>
          <w:color w:val="000000"/>
          <w:spacing w:val="0"/>
          <w:sz w:val="21"/>
        </w:rPr>
        <w:t>产物量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底物量</w:t>
      </w:r>
      <w:r>
        <w:rPr>
          <w:rFonts w:ascii="Times New Roman" w:hAnsi="Times New Roman" w:cs="Times New Roman"/>
          <w:color w:val="000000"/>
          <w:spacing w:val="0"/>
          <w:sz w:val="21"/>
        </w:rPr>
        <w:t>×100%</w:t>
      </w:r>
      <w:r>
        <w:rPr>
          <w:rFonts w:ascii="宋体" w:hAnsi="宋体" w:cs="宋体"/>
          <w:color w:val="000000"/>
          <w:spacing w:val="-5"/>
          <w:sz w:val="21"/>
        </w:rPr>
        <w:t>），其变化趋势如下图。下列叙述正确的是（</w:t>
      </w:r>
      <w:r>
        <w:rPr>
          <w:rFonts w:ascii="Times New Roman"/>
          <w:color w:val="000000"/>
          <w:spacing w:val="3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26C1BD5">
      <w:pPr>
        <w:spacing w:before="151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1AC5A4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F5458A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09FA69E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5A573B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931C832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3" o:spid="_x0000_s1039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4" o:spid="_x0000_s1040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15" o:spid="_x0000_s1041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6" o:spid="_x0000_s1042" o:spt="75" type="#_x0000_t75" style="position:absolute;left:0pt;margin-left:53pt;margin-top:65.8pt;height:157.35pt;width:329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pict>
          <v:shape id="_x000017" o:spid="_x0000_s1043" o:spt="75" type="#_x0000_t75" style="position:absolute;left:0pt;margin-left:53pt;margin-top:528pt;height:122.05pt;width:388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9" o:title=""/>
            <o:lock v:ext="edit" aspectratio="t"/>
          </v:shape>
        </w:pict>
      </w:r>
      <w:r>
        <w:pict>
          <v:shape id="_x000018" o:spid="_x0000_s1044" o:spt="75" type="#_x0000_t75" style="position:absolute;left:0pt;margin-left:197.85pt;margin-top:748.7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升高反应温度，可进一步提高</w:t>
      </w:r>
      <w:r>
        <w:rPr>
          <w:rFonts w:ascii="Times New Roman"/>
          <w:color w:val="000000"/>
          <w:spacing w:val="0"/>
          <w:sz w:val="21"/>
        </w:rPr>
        <w:t xml:space="preserve"> D-</w:t>
      </w:r>
      <w:r>
        <w:rPr>
          <w:rFonts w:ascii="宋体" w:hAnsi="宋体" w:cs="宋体"/>
          <w:color w:val="000000"/>
          <w:spacing w:val="0"/>
          <w:sz w:val="21"/>
        </w:rPr>
        <w:t>果糖转化率</w:t>
      </w:r>
    </w:p>
    <w:p w14:paraId="50193B0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 D-</w:t>
      </w:r>
      <w:r>
        <w:rPr>
          <w:rFonts w:ascii="宋体" w:hAnsi="宋体" w:cs="宋体"/>
          <w:color w:val="000000"/>
          <w:spacing w:val="0"/>
          <w:sz w:val="21"/>
        </w:rPr>
        <w:t>果糖的转化率越高，说明酶</w:t>
      </w:r>
      <w:r>
        <w:rPr>
          <w:rFonts w:ascii="Times New Roman"/>
          <w:color w:val="000000"/>
          <w:spacing w:val="0"/>
          <w:sz w:val="21"/>
        </w:rPr>
        <w:t xml:space="preserve"> Y </w:t>
      </w:r>
      <w:r>
        <w:rPr>
          <w:rFonts w:ascii="宋体" w:hAnsi="宋体" w:cs="宋体"/>
          <w:color w:val="000000"/>
          <w:spacing w:val="0"/>
          <w:sz w:val="21"/>
        </w:rPr>
        <w:t>的活性越强</w:t>
      </w:r>
    </w:p>
    <w:p w14:paraId="68E42F7A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若将</w:t>
      </w:r>
      <w:r>
        <w:rPr>
          <w:rFonts w:ascii="Times New Roman"/>
          <w:color w:val="000000"/>
          <w:spacing w:val="0"/>
          <w:sz w:val="21"/>
        </w:rPr>
        <w:t xml:space="preserve"> Co</w:t>
      </w:r>
      <w:r>
        <w:rPr>
          <w:rFonts w:ascii="Times New Roman"/>
          <w:color w:val="000000"/>
          <w:spacing w:val="0"/>
          <w:sz w:val="23"/>
          <w:vertAlign w:val="superscript"/>
        </w:rPr>
        <w:t>2+</w:t>
      </w:r>
      <w:r>
        <w:rPr>
          <w:rFonts w:ascii="宋体" w:hAnsi="宋体" w:cs="宋体"/>
          <w:color w:val="000000"/>
          <w:spacing w:val="0"/>
          <w:sz w:val="21"/>
        </w:rPr>
        <w:t>的浓度加倍，酶促反应速率也加倍</w:t>
      </w:r>
    </w:p>
    <w:p w14:paraId="07055E07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D. 2h </w:t>
      </w:r>
      <w:r>
        <w:rPr>
          <w:rFonts w:ascii="宋体" w:hAnsi="宋体" w:cs="宋体"/>
          <w:color w:val="000000"/>
          <w:spacing w:val="0"/>
          <w:sz w:val="21"/>
        </w:rPr>
        <w:t>时，三组中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500g·L</w:t>
      </w:r>
      <w:r>
        <w:rPr>
          <w:rFonts w:ascii="Times New Roman"/>
          <w:color w:val="000000"/>
          <w:spacing w:val="0"/>
          <w:sz w:val="23"/>
          <w:vertAlign w:val="superscript"/>
        </w:rPr>
        <w:t>-1</w:t>
      </w:r>
      <w:r>
        <w:rPr>
          <w:rFonts w:ascii="Times New Roman"/>
          <w:color w:val="000000"/>
          <w:spacing w:val="-5"/>
          <w:sz w:val="23"/>
          <w:vertAlign w:val="super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果糖组产物量最高</w:t>
      </w:r>
    </w:p>
    <w:p w14:paraId="2B74AE1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系统性红斑狼疮的发生与部分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细胞的异常活化有关，人体绝大多数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细胞表面具有</w:t>
      </w:r>
      <w:r>
        <w:rPr>
          <w:rFonts w:ascii="Times New Roman"/>
          <w:color w:val="000000"/>
          <w:spacing w:val="0"/>
          <w:sz w:val="21"/>
        </w:rPr>
        <w:t xml:space="preserve"> CD19 </w:t>
      </w:r>
      <w:r>
        <w:rPr>
          <w:rFonts w:ascii="宋体" w:hAnsi="宋体" w:cs="宋体"/>
          <w:color w:val="000000"/>
          <w:spacing w:val="0"/>
          <w:sz w:val="21"/>
        </w:rPr>
        <w:t>抗原。科</w:t>
      </w:r>
    </w:p>
    <w:p w14:paraId="29A9A47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学家将患者的</w:t>
      </w:r>
      <w:r>
        <w:rPr>
          <w:rFonts w:ascii="Times New Roman"/>
          <w:color w:val="000000"/>
          <w:spacing w:val="0"/>
          <w:sz w:val="21"/>
        </w:rPr>
        <w:t xml:space="preserve"> T </w:t>
      </w:r>
      <w:r>
        <w:rPr>
          <w:rFonts w:ascii="宋体" w:hAnsi="宋体" w:cs="宋体"/>
          <w:color w:val="000000"/>
          <w:spacing w:val="0"/>
          <w:sz w:val="21"/>
        </w:rPr>
        <w:t>细胞改造成表达</w:t>
      </w:r>
      <w:r>
        <w:rPr>
          <w:rFonts w:ascii="Times New Roman"/>
          <w:color w:val="000000"/>
          <w:spacing w:val="0"/>
          <w:sz w:val="21"/>
        </w:rPr>
        <w:t xml:space="preserve"> CD19 </w:t>
      </w:r>
      <w:r>
        <w:rPr>
          <w:rFonts w:ascii="宋体" w:hAnsi="宋体" w:cs="宋体"/>
          <w:color w:val="000000"/>
          <w:spacing w:val="0"/>
          <w:sz w:val="21"/>
        </w:rPr>
        <w:t>抗原受体的</w:t>
      </w:r>
      <w:r>
        <w:rPr>
          <w:rFonts w:ascii="Times New Roman"/>
          <w:color w:val="000000"/>
          <w:spacing w:val="0"/>
          <w:sz w:val="21"/>
        </w:rPr>
        <w:t xml:space="preserve"> T </w:t>
      </w:r>
      <w:r>
        <w:rPr>
          <w:rFonts w:ascii="宋体" w:hAnsi="宋体" w:cs="宋体"/>
          <w:color w:val="000000"/>
          <w:spacing w:val="0"/>
          <w:sz w:val="21"/>
        </w:rPr>
        <w:t>细胞（</w:t>
      </w:r>
      <w:r>
        <w:rPr>
          <w:rFonts w:ascii="Times New Roman"/>
          <w:color w:val="000000"/>
          <w:spacing w:val="0"/>
          <w:sz w:val="21"/>
        </w:rPr>
        <w:t xml:space="preserve">CD19CAR-T </w:t>
      </w:r>
      <w:r>
        <w:rPr>
          <w:rFonts w:ascii="宋体" w:hAnsi="宋体" w:cs="宋体"/>
          <w:color w:val="000000"/>
          <w:spacing w:val="-7"/>
          <w:sz w:val="21"/>
        </w:rPr>
        <w:t>细胞），使其能特异性识别并裂解</w:t>
      </w:r>
    </w:p>
    <w:p w14:paraId="4C3D65B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具有</w:t>
      </w:r>
      <w:r>
        <w:rPr>
          <w:rFonts w:ascii="Times New Roman"/>
          <w:color w:val="000000"/>
          <w:spacing w:val="0"/>
          <w:sz w:val="21"/>
        </w:rPr>
        <w:t xml:space="preserve"> CD19 </w:t>
      </w:r>
      <w:r>
        <w:rPr>
          <w:rFonts w:ascii="宋体" w:hAnsi="宋体" w:cs="宋体"/>
          <w:color w:val="000000"/>
          <w:spacing w:val="0"/>
          <w:sz w:val="21"/>
        </w:rPr>
        <w:t>抗原的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细胞，为治疗系统性红斑狼疮开辟新途径。下列叙述正确的是（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30B629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系统性红斑狼疮是一种人体自身免疫病，其发病机制与细胞免疫异常有关</w:t>
      </w:r>
    </w:p>
    <w:p w14:paraId="61E5702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治疗选取的</w:t>
      </w:r>
      <w:r>
        <w:rPr>
          <w:rFonts w:ascii="Times New Roman"/>
          <w:color w:val="000000"/>
          <w:spacing w:val="0"/>
          <w:sz w:val="21"/>
        </w:rPr>
        <w:t xml:space="preserve"> T </w:t>
      </w:r>
      <w:r>
        <w:rPr>
          <w:rFonts w:ascii="宋体" w:hAnsi="宋体" w:cs="宋体"/>
          <w:color w:val="000000"/>
          <w:spacing w:val="0"/>
          <w:sz w:val="21"/>
        </w:rPr>
        <w:t>细胞为辅助性</w:t>
      </w:r>
      <w:r>
        <w:rPr>
          <w:rFonts w:ascii="Times New Roman"/>
          <w:color w:val="000000"/>
          <w:spacing w:val="0"/>
          <w:sz w:val="21"/>
        </w:rPr>
        <w:t xml:space="preserve"> T </w:t>
      </w:r>
      <w:r>
        <w:rPr>
          <w:rFonts w:ascii="宋体" w:hAnsi="宋体" w:cs="宋体"/>
          <w:color w:val="000000"/>
          <w:spacing w:val="0"/>
          <w:sz w:val="21"/>
        </w:rPr>
        <w:t>细胞，可从血液、淋巴液和免疫器官中获得</w:t>
      </w:r>
    </w:p>
    <w:p w14:paraId="4A8DBC3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 CD19CAR-T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细胞主要通过增强患者的体液免疫来治疗系统性红斑狼疮</w:t>
      </w:r>
    </w:p>
    <w:p w14:paraId="113FEF3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 CD19CAR-T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细胞不仅能裂解异常活化的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细胞，也会攻击正常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细胞</w:t>
      </w:r>
    </w:p>
    <w:p w14:paraId="26D2E89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足底黑斑病（甲病）和杜氏肌营养不良（乙病）均为单基因遗传病，其中至少一种是伴性遗传病。下图</w:t>
      </w:r>
    </w:p>
    <w:p w14:paraId="7896AF6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为某家族遗传系谱图，不考虑新的突变，下列叙述正确的是（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B343DFE">
      <w:pPr>
        <w:spacing w:before="273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甲病为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染色体隐性遗传病</w:t>
      </w:r>
    </w:p>
    <w:p w14:paraId="7D0936C6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Ⅱ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与Ⅲ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的基因型相同</w:t>
      </w:r>
    </w:p>
    <w:p w14:paraId="170BB48C">
      <w:pPr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Ⅲ</w:t>
      </w:r>
      <w:r>
        <w:rPr>
          <w:rFonts w:ascii="Times New Roman"/>
          <w:color w:val="000000"/>
          <w:spacing w:val="0"/>
          <w:sz w:val="21"/>
          <w:vertAlign w:val="subscript"/>
        </w:rPr>
        <w:t>3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的乙病基因来自Ⅰ</w:t>
      </w:r>
      <w:r>
        <w:rPr>
          <w:rFonts w:ascii="Times New Roman"/>
          <w:color w:val="000000"/>
          <w:spacing w:val="0"/>
          <w:sz w:val="14"/>
        </w:rPr>
        <w:t>1</w:t>
      </w:r>
    </w:p>
    <w:p w14:paraId="10292F5F">
      <w:pPr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Ⅱ</w:t>
      </w:r>
      <w:r>
        <w:rPr>
          <w:rFonts w:ascii="Times New Roman"/>
          <w:color w:val="000000"/>
          <w:spacing w:val="0"/>
          <w:sz w:val="21"/>
          <w:vertAlign w:val="subscript"/>
        </w:rPr>
        <w:t>4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和Ⅱ</w:t>
      </w:r>
      <w:r>
        <w:rPr>
          <w:rFonts w:ascii="Times New Roman"/>
          <w:color w:val="000000"/>
          <w:spacing w:val="0"/>
          <w:sz w:val="21"/>
          <w:vertAlign w:val="subscript"/>
        </w:rPr>
        <w:t>5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再生一个正常孩子概率为</w:t>
      </w:r>
      <w:r>
        <w:rPr>
          <w:rFonts w:ascii="Times New Roman"/>
          <w:color w:val="000000"/>
          <w:spacing w:val="0"/>
          <w:sz w:val="21"/>
        </w:rPr>
        <w:t xml:space="preserve"> 1/8</w:t>
      </w:r>
    </w:p>
    <w:p w14:paraId="74A63A13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为模拟大脑控制骨骼肌运动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生理过程，科学家将人干细胞诱导分化成三种细胞（图甲），并分别培养</w:t>
      </w:r>
    </w:p>
    <w:p w14:paraId="5018008B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47218D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9DA571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FF36A2E">
      <w:pPr>
        <w:sectPr>
          <w:pgSz w:w="11900" w:h="16840"/>
          <w:pgMar w:top="456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693941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8AE0923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9" o:spid="_x0000_s1045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20" o:spid="_x0000_s1046" o:spt="75" type="#_x0000_t75" style="position:absolute;left:0pt;margin-left:53pt;margin-top:426.75pt;height:245.85pt;width:413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0" o:title=""/>
            <o:lock v:ext="edit" aspectratio="t"/>
          </v:shape>
        </w:pict>
      </w:r>
      <w:r>
        <w:pict>
          <v:shape id="_x000021" o:spid="_x0000_s1047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22" o:spid="_x0000_s1048" o:spt="75" type="#_x0000_t75" style="position:absolute;left:0pt;margin-left:53pt;margin-top:119.05pt;height:112.3pt;width:359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1" o:title=""/>
            <o:lock v:ext="edit" aspectratio="t"/>
          </v:shape>
        </w:pict>
      </w:r>
      <w:r>
        <w:pict>
          <v:shape id="_x000023" o:spid="_x0000_s1049" o:spt="75" type="#_x0000_t75" style="position:absolute;left:0pt;margin-left:173.8pt;margin-top:678.9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成具有相应功能的细胞团，再将不同细胞团组合培养一段时间后，观察骨骼肌细胞团（简称肌）的收缩频</w:t>
      </w:r>
    </w:p>
    <w:p w14:paraId="3BE2A36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6"/>
          <w:sz w:val="21"/>
        </w:rPr>
        <w:t>率（图乙）。下列推断最合理的是（</w:t>
      </w:r>
      <w:r>
        <w:rPr>
          <w:rFonts w:ascii="Times New Roman"/>
          <w:color w:val="000000"/>
          <w:spacing w:val="37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AE9ECB2">
      <w:pPr>
        <w:spacing w:before="274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注：谷氨酸和乙酰胆碱为两种神经元释放的神经递质</w:t>
      </w:r>
    </w:p>
    <w:p w14:paraId="70DD88F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若在③培养液中加入谷氨酸，肌收缩频率不会发生变化</w:t>
      </w:r>
    </w:p>
    <w:p w14:paraId="5B3316E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若将④中乙酰胆碱受体阻断，刺激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会增加肌收缩频率</w:t>
      </w:r>
    </w:p>
    <w:p w14:paraId="2D3F4DC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分析②③④可知，</w:t>
      </w:r>
      <w:r>
        <w:rPr>
          <w:rFonts w:ascii="Times New Roman"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需要通过</w:t>
      </w:r>
      <w:r>
        <w:rPr>
          <w:rFonts w:ascii="Times New Roman"/>
          <w:color w:val="000000"/>
          <w:spacing w:val="0"/>
          <w:sz w:val="21"/>
        </w:rPr>
        <w:t xml:space="preserve"> Y </w:t>
      </w:r>
      <w:r>
        <w:rPr>
          <w:rFonts w:ascii="宋体" w:hAnsi="宋体" w:cs="宋体"/>
          <w:color w:val="000000"/>
          <w:spacing w:val="0"/>
          <w:sz w:val="21"/>
        </w:rPr>
        <w:t>与肌发生功能上的联系</w:t>
      </w:r>
    </w:p>
    <w:p w14:paraId="4953EA5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由实验结果可知，肌与神经元共培养时收缩频率均增加</w:t>
      </w:r>
    </w:p>
    <w:p w14:paraId="162125FA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生长素（</w:t>
      </w:r>
      <w:r>
        <w:rPr>
          <w:rFonts w:ascii="Times New Roman"/>
          <w:color w:val="000000"/>
          <w:spacing w:val="0"/>
          <w:sz w:val="21"/>
        </w:rPr>
        <w:t>IAA</w:t>
      </w:r>
      <w:r>
        <w:rPr>
          <w:rFonts w:ascii="宋体" w:hAnsi="宋体" w:cs="宋体"/>
          <w:color w:val="000000"/>
          <w:spacing w:val="0"/>
          <w:sz w:val="21"/>
        </w:rPr>
        <w:t>）和</w:t>
      </w:r>
      <w:r>
        <w:rPr>
          <w:rFonts w:ascii="Times New Roman"/>
          <w:color w:val="000000"/>
          <w:spacing w:val="0"/>
          <w:sz w:val="21"/>
        </w:rPr>
        <w:t xml:space="preserve"> H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O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都参与中胚轴生长的调节。有人切取玉米幼苗的中胚轴、将其培养在含有不同</w:t>
      </w:r>
    </w:p>
    <w:p w14:paraId="2226943F">
      <w:pPr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外源物质的培养液中，一段时间后测定中胚轴长度，结果如下图（</w:t>
      </w:r>
      <w:r>
        <w:rPr>
          <w:rFonts w:ascii="Times New Roman"/>
          <w:color w:val="000000"/>
          <w:spacing w:val="0"/>
          <w:sz w:val="21"/>
        </w:rPr>
        <w:t xml:space="preserve">DPI </w:t>
      </w:r>
      <w:r>
        <w:rPr>
          <w:rFonts w:ascii="宋体" w:hAnsi="宋体" w:cs="宋体"/>
          <w:color w:val="000000"/>
          <w:spacing w:val="0"/>
          <w:sz w:val="21"/>
        </w:rPr>
        <w:t>可以抑制植物中</w:t>
      </w:r>
      <w:r>
        <w:rPr>
          <w:rFonts w:ascii="Times New Roman"/>
          <w:color w:val="000000"/>
          <w:spacing w:val="0"/>
          <w:sz w:val="21"/>
        </w:rPr>
        <w:t xml:space="preserve"> H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O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-17"/>
          <w:sz w:val="21"/>
        </w:rPr>
        <w:t>的生成）。下</w:t>
      </w:r>
    </w:p>
    <w:p w14:paraId="4C720C43">
      <w:pPr>
        <w:spacing w:before="22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列叙述错误的是（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23A35D6">
      <w:pPr>
        <w:spacing w:before="523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本实验运用了实验设计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加法原理和减法原理</w:t>
      </w:r>
    </w:p>
    <w:p w14:paraId="4488E3D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切去芽可以减少内源生长素对本实验结果的影响</w:t>
      </w:r>
    </w:p>
    <w:p w14:paraId="04F61631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IAA </w:t>
      </w:r>
      <w:r>
        <w:rPr>
          <w:rFonts w:ascii="宋体" w:hAnsi="宋体" w:cs="宋体"/>
          <w:color w:val="000000"/>
          <w:spacing w:val="0"/>
          <w:sz w:val="21"/>
        </w:rPr>
        <w:t>通过细胞中</w:t>
      </w:r>
      <w:r>
        <w:rPr>
          <w:rFonts w:ascii="Times New Roman"/>
          <w:color w:val="000000"/>
          <w:spacing w:val="0"/>
          <w:sz w:val="21"/>
        </w:rPr>
        <w:t xml:space="preserve"> H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O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含量的增加促进中胚轴生长</w:t>
      </w:r>
    </w:p>
    <w:p w14:paraId="7B40CD57">
      <w:pPr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若另设</w:t>
      </w:r>
      <w:r>
        <w:rPr>
          <w:rFonts w:ascii="Times New Roman"/>
          <w:color w:val="000000"/>
          <w:spacing w:val="0"/>
          <w:sz w:val="21"/>
        </w:rPr>
        <w:t xml:space="preserve"> IAA </w:t>
      </w:r>
      <w:r>
        <w:rPr>
          <w:rFonts w:ascii="宋体" w:hAnsi="宋体" w:cs="宋体"/>
          <w:color w:val="000000"/>
          <w:spacing w:val="0"/>
          <w:sz w:val="21"/>
        </w:rPr>
        <w:t>抑制剂</w:t>
      </w:r>
      <w:r>
        <w:rPr>
          <w:rFonts w:ascii="Times New Roman"/>
          <w:color w:val="000000"/>
          <w:spacing w:val="0"/>
          <w:sz w:val="21"/>
        </w:rPr>
        <w:t>+H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O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组，中胚轴长度应与④相近</w:t>
      </w:r>
    </w:p>
    <w:p w14:paraId="0D51774A">
      <w:pPr>
        <w:spacing w:before="9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CD715A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0F86232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E928ABF">
      <w:pPr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499842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7CBCF48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24" o:spid="_x0000_s1050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25" o:spid="_x0000_s1051" o:spt="75" type="#_x0000_t75" style="position:absolute;left:0pt;margin-left:47pt;margin-top:462.75pt;height:207.6pt;width:356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26" o:spid="_x0000_s1052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27" o:spid="_x0000_s1053" o:spt="75" type="#_x0000_t75" style="position:absolute;left:0pt;margin-left:53pt;margin-top:160.35pt;height:92.05pt;width:219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3" o:title=""/>
            <o:lock v:ext="edit" aspectratio="t"/>
          </v:shape>
        </w:pict>
      </w:r>
      <w:r>
        <w:pict>
          <v:shape id="_x000028" o:spid="_x0000_s1054" o:spt="75" type="#_x0000_t75" style="position:absolute;left:0pt;margin-left:341.85pt;margin-top:744.2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青藏高原砾石（呈灰色）荒漠中生活着一种紫堇，每年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月开蓝花，叶片通常为绿色，但部分植株出现</w:t>
      </w:r>
    </w:p>
    <w:p w14:paraId="352DF10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H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基因，导致叶片呈灰色。绢蝶是紫堇的头号天敌，主要靠识别紫堇与环境的颜色差异来定位植株。绢蝶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</w:p>
    <w:p w14:paraId="1DE9108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~6 </w:t>
      </w:r>
      <w:r>
        <w:rPr>
          <w:rFonts w:ascii="宋体" w:hAnsi="宋体" w:cs="宋体"/>
          <w:color w:val="000000"/>
          <w:spacing w:val="0"/>
          <w:sz w:val="21"/>
        </w:rPr>
        <w:t>月将卵产在紫堇附近的砾石上，便于孵化的幼虫就近取食。绢蝶产卵率与紫堇结实率如下图。下列推断</w:t>
      </w:r>
    </w:p>
    <w:p w14:paraId="6C84A8C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不合理的是（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BA0904D">
      <w:pPr>
        <w:spacing w:before="211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注：产卵率指绢蝶在绿叶或灰叶紫堇附近产卵的机率；结实率</w:t>
      </w:r>
      <w:r>
        <w:rPr>
          <w:rFonts w:ascii="Times New Roman"/>
          <w:color w:val="000000"/>
          <w:spacing w:val="0"/>
          <w:sz w:val="21"/>
        </w:rPr>
        <w:t>=</w:t>
      </w:r>
      <w:r>
        <w:rPr>
          <w:rFonts w:ascii="宋体" w:hAnsi="宋体" w:cs="宋体"/>
          <w:color w:val="000000"/>
          <w:spacing w:val="0"/>
          <w:sz w:val="21"/>
        </w:rPr>
        <w:t>结实植株数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总植株数</w:t>
      </w:r>
      <w:r>
        <w:rPr>
          <w:rFonts w:ascii="Times New Roman" w:hAnsi="Times New Roman" w:cs="Times New Roman"/>
          <w:color w:val="000000"/>
          <w:spacing w:val="0"/>
          <w:sz w:val="21"/>
        </w:rPr>
        <w:t>×100%</w:t>
      </w:r>
    </w:p>
    <w:p w14:paraId="35E36EF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灰叶紫堇具有保护色，被天敌取食的机率更低，结实率更高</w:t>
      </w:r>
    </w:p>
    <w:p w14:paraId="253D059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紫堇开花时间与绢蝶产卵时间不重叠，不利于</w:t>
      </w:r>
      <w:r>
        <w:rPr>
          <w:rFonts w:ascii="Times New Roman"/>
          <w:color w:val="000000"/>
          <w:spacing w:val="0"/>
          <w:sz w:val="21"/>
        </w:rPr>
        <w:t xml:space="preserve"> H </w:t>
      </w:r>
      <w:r>
        <w:rPr>
          <w:rFonts w:ascii="宋体" w:hAnsi="宋体" w:cs="宋体"/>
          <w:color w:val="000000"/>
          <w:spacing w:val="0"/>
          <w:sz w:val="21"/>
        </w:rPr>
        <w:t>基因的保留</w:t>
      </w:r>
    </w:p>
    <w:p w14:paraId="56A6211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若绢蝶种群数量锐减，绿叶紫堇在种群中所占的比例会增加</w:t>
      </w:r>
    </w:p>
    <w:p w14:paraId="5FC2FC2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灰叶紫堇占比增加有助于绢蝶演化出更敏锐的视觉定位能力</w:t>
      </w:r>
    </w:p>
    <w:p w14:paraId="2AE76113">
      <w:pPr>
        <w:spacing w:before="209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5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496E8619">
      <w:pPr>
        <w:spacing w:before="195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在温室中种植番茄，光照强度和</w:t>
      </w:r>
      <w:r>
        <w:rPr>
          <w:rFonts w:ascii="Times New Roman"/>
          <w:color w:val="000000"/>
          <w:spacing w:val="0"/>
          <w:sz w:val="21"/>
        </w:rPr>
        <w:t xml:space="preserve"> CO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浓度是制约产量的主要因素。某地冬季温室的平均光照强度约为</w:t>
      </w:r>
    </w:p>
    <w:p w14:paraId="086E0EE1">
      <w:pPr>
        <w:spacing w:before="181" w:after="0" w:line="265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 w:hAnsi="Times New Roman" w:cs="Times New Roman"/>
          <w:color w:val="000000"/>
          <w:spacing w:val="0"/>
          <w:sz w:val="21"/>
        </w:rPr>
        <w:t>200μmol·m</w:t>
      </w:r>
      <w:r>
        <w:rPr>
          <w:rFonts w:ascii="Times New Roman"/>
          <w:color w:val="000000"/>
          <w:spacing w:val="0"/>
          <w:sz w:val="23"/>
          <w:vertAlign w:val="superscript"/>
        </w:rPr>
        <w:t>-2</w:t>
      </w:r>
      <w:r>
        <w:rPr>
          <w:rFonts w:ascii="Times New Roman" w:hAnsi="Times New Roman" w:cs="Times New Roman"/>
          <w:color w:val="000000"/>
          <w:spacing w:val="0"/>
          <w:sz w:val="21"/>
        </w:rPr>
        <w:t>·s</w:t>
      </w:r>
      <w:r>
        <w:rPr>
          <w:rFonts w:ascii="Times New Roman"/>
          <w:color w:val="000000"/>
          <w:spacing w:val="0"/>
          <w:sz w:val="23"/>
          <w:vertAlign w:val="superscript"/>
        </w:rPr>
        <w:t>-1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CO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浓度约为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400μmol·mol</w:t>
      </w:r>
      <w:r>
        <w:rPr>
          <w:rFonts w:ascii="Times New Roman"/>
          <w:color w:val="000000"/>
          <w:spacing w:val="0"/>
          <w:sz w:val="23"/>
          <w:vertAlign w:val="superscript"/>
        </w:rPr>
        <w:t>-1</w:t>
      </w:r>
      <w:r>
        <w:rPr>
          <w:rFonts w:ascii="宋体" w:hAnsi="宋体" w:cs="宋体"/>
          <w:color w:val="000000"/>
          <w:spacing w:val="0"/>
          <w:sz w:val="21"/>
        </w:rPr>
        <w:t>。为提高温室番茄产量，有人测定了补充光照和</w:t>
      </w:r>
      <w:r>
        <w:rPr>
          <w:rFonts w:ascii="Times New Roman"/>
          <w:color w:val="000000"/>
          <w:spacing w:val="0"/>
          <w:sz w:val="21"/>
        </w:rPr>
        <w:t xml:space="preserve"> CO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后番茄</w:t>
      </w:r>
    </w:p>
    <w:p w14:paraId="13620915">
      <w:pPr>
        <w:spacing w:before="22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植株相关生理指标，结果见下表。回答下列问题。</w:t>
      </w:r>
    </w:p>
    <w:p w14:paraId="08CB75B2">
      <w:pPr>
        <w:spacing w:before="338" w:after="0" w:line="220" w:lineRule="exact"/>
        <w:ind w:left="70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光照强度</w:t>
      </w:r>
    </w:p>
    <w:p w14:paraId="3C6593D4">
      <w:pPr>
        <w:spacing w:before="4" w:after="0" w:line="241" w:lineRule="exact"/>
        <w:ind w:left="0" w:right="3895" w:firstLine="1981"/>
        <w:jc w:val="left"/>
        <w:rPr>
          <w:rFonts w:ascii="Times New Roman"/>
          <w:color w:val="000000"/>
          <w:spacing w:val="0"/>
          <w:sz w:val="23"/>
        </w:rPr>
      </w:pPr>
      <w:r>
        <w:rPr>
          <w:rFonts w:ascii="Times New Roman"/>
          <w:color w:val="000000"/>
          <w:spacing w:val="0"/>
          <w:sz w:val="21"/>
        </w:rPr>
        <w:t>CO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浓度</w:t>
      </w:r>
      <w:r>
        <w:rPr>
          <w:rFonts w:ascii="Times New Roman"/>
          <w:color w:val="000000"/>
          <w:spacing w:val="39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净光合速率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气孔导度</w:t>
      </w:r>
      <w:r>
        <w:rPr>
          <w:rFonts w:ascii="Times New Roman"/>
          <w:color w:val="000000"/>
          <w:spacing w:val="3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叶绿素含 组别</w:t>
      </w:r>
      <w:r>
        <w:rPr>
          <w:rFonts w:ascii="Times New Roman"/>
          <w:color w:val="000000"/>
          <w:spacing w:val="233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μmol·m</w:t>
      </w:r>
      <w:r>
        <w:rPr>
          <w:rFonts w:ascii="Times New Roman"/>
          <w:color w:val="000000"/>
          <w:spacing w:val="0"/>
          <w:sz w:val="23"/>
          <w:vertAlign w:val="superscript"/>
        </w:rPr>
        <w:t>-2</w:t>
      </w:r>
      <w:r>
        <w:rPr>
          <w:rFonts w:ascii="Times New Roman" w:hAnsi="Times New Roman" w:cs="Times New Roman"/>
          <w:color w:val="000000"/>
          <w:spacing w:val="0"/>
          <w:sz w:val="21"/>
        </w:rPr>
        <w:t>·s</w:t>
      </w:r>
      <w:r>
        <w:rPr>
          <w:rFonts w:ascii="Times New Roman"/>
          <w:color w:val="000000"/>
          <w:spacing w:val="0"/>
          <w:sz w:val="23"/>
          <w:vertAlign w:val="superscript"/>
        </w:rPr>
        <w:t>-</w:t>
      </w:r>
    </w:p>
    <w:p w14:paraId="15EFA9D3">
      <w:pPr>
        <w:spacing w:before="62" w:after="0" w:line="171" w:lineRule="exact"/>
        <w:ind w:left="705" w:right="3905" w:firstLine="1276"/>
        <w:jc w:val="left"/>
        <w:rPr>
          <w:rFonts w:ascii="Times New Roman"/>
          <w:color w:val="000000"/>
          <w:spacing w:val="0"/>
          <w:sz w:val="15"/>
        </w:rPr>
      </w:pPr>
      <w:r>
        <w:rPr>
          <w:rFonts w:ascii="Times New Roman" w:hAnsi="Times New Roman" w:cs="Times New Roman"/>
          <w:color w:val="000000"/>
          <w:spacing w:val="0"/>
          <w:sz w:val="21"/>
        </w:rPr>
        <w:t>μmol·mol</w:t>
      </w:r>
      <w:r>
        <w:rPr>
          <w:rFonts w:ascii="Times New Roman"/>
          <w:color w:val="000000"/>
          <w:spacing w:val="0"/>
          <w:sz w:val="23"/>
          <w:vertAlign w:val="superscript"/>
        </w:rPr>
        <w:t>-1</w:t>
      </w:r>
      <w:r>
        <w:rPr>
          <w:rFonts w:ascii="Times New Roman"/>
          <w:color w:val="000000"/>
          <w:spacing w:val="257"/>
          <w:sz w:val="23"/>
          <w:vertAlign w:val="superscript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μmol·m</w:t>
      </w:r>
      <w:r>
        <w:rPr>
          <w:rFonts w:ascii="Times New Roman"/>
          <w:color w:val="000000"/>
          <w:spacing w:val="0"/>
          <w:sz w:val="23"/>
          <w:vertAlign w:val="superscript"/>
        </w:rPr>
        <w:t>-2</w:t>
      </w:r>
      <w:r>
        <w:rPr>
          <w:rFonts w:ascii="Times New Roman" w:hAnsi="Times New Roman" w:cs="Times New Roman"/>
          <w:color w:val="000000"/>
          <w:spacing w:val="0"/>
          <w:sz w:val="21"/>
        </w:rPr>
        <w:t>·s</w:t>
      </w:r>
      <w:r>
        <w:rPr>
          <w:rFonts w:ascii="Times New Roman"/>
          <w:color w:val="000000"/>
          <w:spacing w:val="0"/>
          <w:sz w:val="23"/>
          <w:vertAlign w:val="superscript"/>
        </w:rPr>
        <w:t>-1</w:t>
      </w:r>
      <w:r>
        <w:rPr>
          <w:rFonts w:ascii="Times New Roman"/>
          <w:color w:val="000000"/>
          <w:spacing w:val="280"/>
          <w:sz w:val="23"/>
          <w:vertAlign w:val="superscript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mol·m</w:t>
      </w:r>
      <w:r>
        <w:rPr>
          <w:rFonts w:ascii="Times New Roman"/>
          <w:color w:val="000000"/>
          <w:spacing w:val="0"/>
          <w:sz w:val="23"/>
          <w:vertAlign w:val="superscript"/>
        </w:rPr>
        <w:t>-2</w:t>
      </w:r>
      <w:r>
        <w:rPr>
          <w:rFonts w:ascii="Times New Roman" w:hAnsi="Times New Roman" w:cs="Times New Roman"/>
          <w:color w:val="000000"/>
          <w:spacing w:val="0"/>
          <w:sz w:val="21"/>
        </w:rPr>
        <w:t>·s</w:t>
      </w:r>
      <w:r>
        <w:rPr>
          <w:rFonts w:ascii="Times New Roman"/>
          <w:color w:val="000000"/>
          <w:spacing w:val="0"/>
          <w:sz w:val="23"/>
          <w:vertAlign w:val="superscript"/>
        </w:rPr>
        <w:t>-1</w:t>
      </w:r>
      <w:r>
        <w:rPr>
          <w:rFonts w:ascii="Times New Roman"/>
          <w:color w:val="000000"/>
          <w:spacing w:val="257"/>
          <w:sz w:val="23"/>
          <w:vertAlign w:val="super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mg·g</w:t>
      </w:r>
      <w:r>
        <w:rPr>
          <w:rFonts w:ascii="Times New Roman"/>
          <w:color w:val="000000"/>
          <w:spacing w:val="0"/>
          <w:sz w:val="23"/>
          <w:vertAlign w:val="superscript"/>
        </w:rPr>
        <w:t xml:space="preserve">-1 </w:t>
      </w:r>
      <w:r>
        <w:rPr>
          <w:rFonts w:ascii="Times New Roman"/>
          <w:color w:val="000000"/>
          <w:spacing w:val="0"/>
          <w:sz w:val="15"/>
        </w:rPr>
        <w:t>1</w:t>
      </w:r>
    </w:p>
    <w:p w14:paraId="01F6EE7B">
      <w:pPr>
        <w:spacing w:before="46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对照</w:t>
      </w:r>
      <w:r>
        <w:rPr>
          <w:rFonts w:ascii="Times New Roman"/>
          <w:color w:val="000000"/>
          <w:spacing w:val="2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200</w:t>
      </w:r>
      <w:r>
        <w:rPr>
          <w:rFonts w:ascii="Times New Roman"/>
          <w:color w:val="000000"/>
          <w:spacing w:val="9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400</w:t>
      </w:r>
      <w:r>
        <w:rPr>
          <w:rFonts w:ascii="Times New Roman"/>
          <w:color w:val="000000"/>
          <w:spacing w:val="9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7.5</w:t>
      </w:r>
      <w:r>
        <w:rPr>
          <w:rFonts w:ascii="Times New Roman"/>
          <w:color w:val="000000"/>
          <w:spacing w:val="10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0.08</w:t>
      </w:r>
      <w:r>
        <w:rPr>
          <w:rFonts w:ascii="Times New Roman"/>
          <w:color w:val="000000"/>
          <w:spacing w:val="85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42.8</w:t>
      </w:r>
    </w:p>
    <w:p w14:paraId="6AB59E84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甲</w:t>
      </w:r>
      <w:r>
        <w:rPr>
          <w:rFonts w:ascii="Times New Roman"/>
          <w:color w:val="000000"/>
          <w:spacing w:val="4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400</w:t>
      </w:r>
      <w:r>
        <w:rPr>
          <w:rFonts w:ascii="Times New Roman"/>
          <w:color w:val="000000"/>
          <w:spacing w:val="9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400</w:t>
      </w:r>
      <w:r>
        <w:rPr>
          <w:rFonts w:ascii="Times New Roman"/>
          <w:color w:val="000000"/>
          <w:spacing w:val="9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14.0</w:t>
      </w:r>
      <w:r>
        <w:rPr>
          <w:rFonts w:ascii="Times New Roman"/>
          <w:color w:val="000000"/>
          <w:spacing w:val="99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0.15</w:t>
      </w:r>
      <w:r>
        <w:rPr>
          <w:rFonts w:ascii="Times New Roman"/>
          <w:color w:val="000000"/>
          <w:spacing w:val="85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59.1</w:t>
      </w:r>
    </w:p>
    <w:p w14:paraId="09C46DD2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乙</w:t>
      </w:r>
      <w:r>
        <w:rPr>
          <w:rFonts w:ascii="Times New Roman"/>
          <w:color w:val="000000"/>
          <w:spacing w:val="4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200</w:t>
      </w:r>
      <w:r>
        <w:rPr>
          <w:rFonts w:ascii="Times New Roman"/>
          <w:color w:val="000000"/>
          <w:spacing w:val="9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800</w:t>
      </w:r>
      <w:r>
        <w:rPr>
          <w:rFonts w:ascii="Times New Roman"/>
          <w:color w:val="000000"/>
          <w:spacing w:val="9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10.0</w:t>
      </w:r>
      <w:r>
        <w:rPr>
          <w:rFonts w:ascii="Times New Roman"/>
          <w:color w:val="000000"/>
          <w:spacing w:val="99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0.08</w:t>
      </w:r>
      <w:r>
        <w:rPr>
          <w:rFonts w:ascii="Times New Roman"/>
          <w:color w:val="000000"/>
          <w:spacing w:val="85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55.3</w:t>
      </w:r>
    </w:p>
    <w:p w14:paraId="76491E4E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丙</w:t>
      </w:r>
      <w:r>
        <w:rPr>
          <w:rFonts w:ascii="Times New Roman"/>
          <w:color w:val="000000"/>
          <w:spacing w:val="4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400</w:t>
      </w:r>
      <w:r>
        <w:rPr>
          <w:rFonts w:ascii="Times New Roman"/>
          <w:color w:val="000000"/>
          <w:spacing w:val="9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800</w:t>
      </w:r>
      <w:r>
        <w:rPr>
          <w:rFonts w:ascii="Times New Roman"/>
          <w:color w:val="000000"/>
          <w:spacing w:val="9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17.5</w:t>
      </w:r>
      <w:r>
        <w:rPr>
          <w:rFonts w:ascii="Times New Roman"/>
          <w:color w:val="000000"/>
          <w:spacing w:val="99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0.13</w:t>
      </w:r>
      <w:r>
        <w:rPr>
          <w:rFonts w:ascii="Times New Roman"/>
          <w:color w:val="000000"/>
          <w:spacing w:val="85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65.0</w:t>
      </w:r>
    </w:p>
    <w:p w14:paraId="7E9CEA00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注：气孔导度和气孔开放程度呈正相关</w:t>
      </w:r>
    </w:p>
    <w:p w14:paraId="3E5B800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）为测定番茄叶片的叶绿素含量，可用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0"/>
          <w:sz w:val="21"/>
        </w:rPr>
        <w:t>提取叶绿素。色素对特定波长光的吸收量可反映色素</w:t>
      </w:r>
    </w:p>
    <w:p w14:paraId="4FE70E1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的含量，为减少类胡萝卜素的干扰，应选择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0"/>
          <w:sz w:val="21"/>
        </w:rPr>
        <w:t>（填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蓝紫光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红光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）来测定叶绿素含量。</w:t>
      </w:r>
    </w:p>
    <w:p w14:paraId="5DBE4FD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）与对照组相比，甲组光合作用光反应为暗反应提供了更多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0"/>
          <w:sz w:val="21"/>
        </w:rPr>
        <w:t>，从而提高了净光合速率。与</w:t>
      </w:r>
    </w:p>
    <w:p w14:paraId="627CEBF1">
      <w:pPr>
        <w:spacing w:before="20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09ED5D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7D5A7B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C2E7160">
      <w:pPr>
        <w:spacing w:before="0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29" o:spid="_x0000_s1055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30" o:spid="_x0000_s1056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31" o:spid="_x0000_s1057" o:spt="75" type="#_x0000_t75" style="position:absolute;left:0pt;margin-left:47pt;margin-top:254.85pt;height:337.45pt;width:335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甲组相比，丙组的净光合速率更高，气孔导度略低，但经测定发现其叶肉细胞间的</w:t>
      </w:r>
      <w:r>
        <w:rPr>
          <w:rFonts w:ascii="Times New Roman"/>
          <w:color w:val="000000"/>
          <w:spacing w:val="0"/>
          <w:sz w:val="21"/>
        </w:rPr>
        <w:t xml:space="preserve"> CO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浓度却更高，可能</w:t>
      </w:r>
    </w:p>
    <w:p w14:paraId="52CA08A2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的原因是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C514F5E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2"/>
          <w:sz w:val="21"/>
        </w:rPr>
        <w:t>）根据本研究结果，在冬季温室种植番茄的过程中，若只能从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CO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6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浓度加倍或光照强度加倍中选择一种</w:t>
      </w:r>
    </w:p>
    <w:p w14:paraId="25055970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措施来提高番茄产量，应选择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0"/>
          <w:sz w:val="21"/>
        </w:rPr>
        <w:t>，依据是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B328D3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川西林盘是人与自然和谐共生的典型代表，一般由宅院、林地及外围耕地等组成。林盘的植被丰富，林</w:t>
      </w:r>
    </w:p>
    <w:p w14:paraId="1CBC73F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地中有乔木、灌丛和草本植物，耕地种植有多种农作物。有人在某林盘选取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-10"/>
          <w:sz w:val="21"/>
        </w:rPr>
        <w:t>三种样地（见下图），</w:t>
      </w:r>
    </w:p>
    <w:p w14:paraId="465CFDE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用样方法调查食叶害虫（蚜虫）及其主要天敌（蜘蛛和步甲虫）的种类和数量，结果见下表。回答下列问</w:t>
      </w:r>
    </w:p>
    <w:p w14:paraId="0E67DE5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题。</w:t>
      </w:r>
    </w:p>
    <w:p w14:paraId="0F080A99">
      <w:pPr>
        <w:spacing w:before="3694" w:after="0" w:line="220" w:lineRule="exact"/>
        <w:ind w:left="70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蚜虫</w:t>
      </w:r>
      <w:r>
        <w:rPr>
          <w:rFonts w:ascii="Times New Roman"/>
          <w:color w:val="000000"/>
          <w:spacing w:val="15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蜘蛛</w:t>
      </w:r>
      <w:r>
        <w:rPr>
          <w:rFonts w:ascii="Times New Roman"/>
          <w:color w:val="000000"/>
          <w:spacing w:val="15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步甲虫</w:t>
      </w:r>
    </w:p>
    <w:p w14:paraId="4415427A">
      <w:pPr>
        <w:spacing w:before="64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样地</w:t>
      </w:r>
      <w:r>
        <w:rPr>
          <w:rFonts w:ascii="Times New Roman"/>
          <w:color w:val="000000"/>
          <w:spacing w:val="2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物种数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个体数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物种数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个体数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物种数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个体数</w:t>
      </w:r>
    </w:p>
    <w:p w14:paraId="5A03F1AB">
      <w:pPr>
        <w:spacing w:before="40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50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171</w:t>
      </w:r>
      <w:r>
        <w:rPr>
          <w:rFonts w:ascii="Times New Roman"/>
          <w:color w:val="000000"/>
          <w:spacing w:val="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36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32</w:t>
      </w:r>
    </w:p>
    <w:p w14:paraId="49161538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5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234</w:t>
      </w:r>
      <w:r>
        <w:rPr>
          <w:rFonts w:ascii="Times New Roman"/>
          <w:color w:val="000000"/>
          <w:spacing w:val="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13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80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39</w:t>
      </w:r>
    </w:p>
    <w:p w14:paraId="05E72F83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5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243</w:t>
      </w:r>
      <w:r>
        <w:rPr>
          <w:rFonts w:ascii="Times New Roman"/>
          <w:color w:val="000000"/>
          <w:spacing w:val="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15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78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12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45</w:t>
      </w:r>
    </w:p>
    <w:p w14:paraId="0AEDE54A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注：表中物种数和个体数为多个样方统计的平均值</w:t>
      </w:r>
    </w:p>
    <w:p w14:paraId="6EA62D0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9"/>
          <w:sz w:val="21"/>
        </w:rPr>
        <w:t>）该林盘中，蜘蛛和步甲虫均属于</w:t>
      </w:r>
      <w:r>
        <w:rPr>
          <w:rFonts w:ascii="Times New Roman"/>
          <w:color w:val="000000"/>
          <w:spacing w:val="0"/>
          <w:sz w:val="21"/>
        </w:rPr>
        <w:t>____________</w:t>
      </w:r>
      <w:r>
        <w:rPr>
          <w:rFonts w:ascii="宋体" w:hAnsi="宋体" w:cs="宋体"/>
          <w:color w:val="000000"/>
          <w:spacing w:val="-9"/>
          <w:sz w:val="21"/>
        </w:rPr>
        <w:t>（填生态系统组分）；若它们数量大量减少，</w:t>
      </w:r>
      <w:r>
        <w:rPr>
          <w:rFonts w:ascii="Times New Roman"/>
          <w:color w:val="000000"/>
          <w:spacing w:val="0"/>
          <w:sz w:val="21"/>
        </w:rPr>
        <w:t>____________</w:t>
      </w:r>
    </w:p>
    <w:p w14:paraId="65E53BB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（填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有利于</w:t>
      </w:r>
      <w:r>
        <w:rPr>
          <w:rFonts w:ascii="Times New Roman" w:hAnsi="Times New Roman" w:cs="Times New Roman"/>
          <w:color w:val="000000"/>
          <w:spacing w:val="0"/>
          <w:sz w:val="21"/>
        </w:rPr>
        <w:t>”“</w:t>
      </w:r>
      <w:r>
        <w:rPr>
          <w:rFonts w:ascii="宋体" w:hAnsi="宋体" w:cs="宋体"/>
          <w:color w:val="000000"/>
          <w:spacing w:val="0"/>
          <w:sz w:val="21"/>
        </w:rPr>
        <w:t>不利于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不影响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）能量流向对人类有益的部分。</w:t>
      </w:r>
    </w:p>
    <w:p w14:paraId="5557129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）与样地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相比，样地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中的高大乔木可降低风速，减少土壤侵蚀，能更好地发挥生物多样性的</w:t>
      </w:r>
    </w:p>
    <w:p w14:paraId="77CFD25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____________</w:t>
      </w:r>
      <w:r>
        <w:rPr>
          <w:rFonts w:ascii="宋体" w:hAnsi="宋体" w:cs="宋体"/>
          <w:color w:val="000000"/>
          <w:spacing w:val="0"/>
          <w:sz w:val="21"/>
        </w:rPr>
        <w:t>价值；同时，样地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的植物群落结构更复杂，有利于增强该样地的</w:t>
      </w:r>
      <w:r>
        <w:rPr>
          <w:rFonts w:ascii="Times New Roman"/>
          <w:color w:val="000000"/>
          <w:spacing w:val="0"/>
          <w:sz w:val="21"/>
        </w:rPr>
        <w:t>____________</w:t>
      </w:r>
      <w:r>
        <w:rPr>
          <w:rFonts w:ascii="宋体" w:hAnsi="宋体" w:cs="宋体"/>
          <w:color w:val="000000"/>
          <w:spacing w:val="0"/>
          <w:sz w:val="21"/>
        </w:rPr>
        <w:t>稳定性。</w:t>
      </w:r>
    </w:p>
    <w:p w14:paraId="61CFCB0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1"/>
          <w:sz w:val="21"/>
        </w:rPr>
        <w:t>）研究结果显示，害虫天敌多样性最高的样地为</w:t>
      </w:r>
      <w:r>
        <w:rPr>
          <w:rFonts w:ascii="Times New Roman"/>
          <w:color w:val="000000"/>
          <w:spacing w:val="0"/>
          <w:sz w:val="21"/>
        </w:rPr>
        <w:t>____________</w:t>
      </w:r>
      <w:r>
        <w:rPr>
          <w:rFonts w:ascii="宋体" w:hAnsi="宋体" w:cs="宋体"/>
          <w:color w:val="000000"/>
          <w:spacing w:val="0"/>
          <w:sz w:val="21"/>
        </w:rPr>
        <w:t>，该样地能维持更多天敌物种共存的原因</w:t>
      </w:r>
    </w:p>
    <w:p w14:paraId="4369E68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是</w:t>
      </w:r>
      <w:r>
        <w:rPr>
          <w:rFonts w:ascii="Times New Roman"/>
          <w:color w:val="000000"/>
          <w:spacing w:val="0"/>
          <w:sz w:val="21"/>
        </w:rPr>
        <w:t>____________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C1B3D3D">
      <w:pPr>
        <w:spacing w:before="36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E5430D7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781602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2EFC409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32" o:spid="_x0000_s1058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33" o:spid="_x0000_s1059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34" o:spid="_x0000_s1060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35" o:spid="_x0000_s1061" o:spt="75" type="#_x0000_t75" style="position:absolute;left:0pt;margin-left:53pt;margin-top:113.05pt;height:109.3pt;width:414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5" o:title=""/>
            <o:lock v:ext="edit" aspectratio="t"/>
          </v:shape>
        </w:pict>
      </w:r>
      <w:r>
        <w:pict>
          <v:shape id="_x000036" o:spid="_x0000_s1062" o:spt="75" type="#_x0000_t75" style="position:absolute;left:0pt;margin-left:53pt;margin-top:248.85pt;height:180.6pt;width:393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6" o:title=""/>
            <o:lock v:ext="edit" aspectratio="t"/>
          </v:shape>
        </w:pict>
      </w:r>
      <w:r>
        <w:pict>
          <v:shape id="_x000037" o:spid="_x0000_s1063" o:spt="75" type="#_x0000_t75" style="position:absolute;left:0pt;margin-left:47pt;margin-top:642.15pt;height:98.05pt;width:243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）土地利用布局对林盘生态系统稳定性有重要影响。综上分析，以下甲、乙、丙三个林盘布局示意图中，</w:t>
      </w:r>
    </w:p>
    <w:p w14:paraId="764FD9E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生态系统稳定性从高到低依次为</w:t>
      </w:r>
      <w:r>
        <w:rPr>
          <w:rFonts w:ascii="Times New Roman"/>
          <w:color w:val="000000"/>
          <w:spacing w:val="0"/>
          <w:sz w:val="21"/>
        </w:rPr>
        <w:t>____________</w:t>
      </w:r>
      <w:r>
        <w:rPr>
          <w:rFonts w:ascii="宋体" w:hAnsi="宋体" w:cs="宋体"/>
          <w:color w:val="000000"/>
          <w:spacing w:val="0"/>
          <w:sz w:val="21"/>
        </w:rPr>
        <w:t>，依据是</w:t>
      </w:r>
      <w:r>
        <w:rPr>
          <w:rFonts w:ascii="Times New Roman"/>
          <w:color w:val="000000"/>
          <w:spacing w:val="0"/>
          <w:sz w:val="21"/>
        </w:rPr>
        <w:t>____________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45E1B3C">
      <w:pPr>
        <w:spacing w:before="241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淋巴细胞参与饥饿状态下血糖稳态的调控，以下是对其机制的研究。回答下列问题。</w:t>
      </w:r>
    </w:p>
    <w:p w14:paraId="54F9080B">
      <w:pPr>
        <w:spacing w:before="397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1"/>
          <w:sz w:val="21"/>
        </w:rPr>
        <w:t>）科学家测定野生型小鼠、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小鼠（缺乏适应性淋巴细胞）和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小鼠（同时缺乏适应性和先天淋巴细胞）</w:t>
      </w:r>
    </w:p>
    <w:p w14:paraId="43377F2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在禁食状态下的血糖浓度（图甲）。由图可知，参与饥饿状态下血糖调控的淋巴细胞主要是</w:t>
      </w:r>
      <w:r>
        <w:rPr>
          <w:rFonts w:ascii="Times New Roman"/>
          <w:color w:val="000000"/>
          <w:spacing w:val="0"/>
          <w:sz w:val="21"/>
        </w:rPr>
        <w:t>____________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29AA60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进一步研究发现，参与血糖调控的主要是该类淋巴细胞的</w:t>
      </w:r>
      <w:r>
        <w:rPr>
          <w:rFonts w:ascii="Times New Roman"/>
          <w:color w:val="000000"/>
          <w:spacing w:val="0"/>
          <w:sz w:val="21"/>
        </w:rPr>
        <w:t xml:space="preserve"> ILC2 </w:t>
      </w:r>
      <w:r>
        <w:rPr>
          <w:rFonts w:ascii="宋体" w:hAnsi="宋体" w:cs="宋体"/>
          <w:color w:val="000000"/>
          <w:spacing w:val="0"/>
          <w:sz w:val="21"/>
        </w:rPr>
        <w:t>亚群。</w:t>
      </w:r>
    </w:p>
    <w:p w14:paraId="1C06700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）用荧光蛋白标记肠黏膜中的</w:t>
      </w:r>
      <w:r>
        <w:rPr>
          <w:rFonts w:ascii="Times New Roman"/>
          <w:color w:val="000000"/>
          <w:spacing w:val="0"/>
          <w:sz w:val="21"/>
        </w:rPr>
        <w:t xml:space="preserve"> ILC2</w:t>
      </w:r>
      <w:r>
        <w:rPr>
          <w:rFonts w:ascii="宋体" w:hAnsi="宋体" w:cs="宋体"/>
          <w:color w:val="000000"/>
          <w:spacing w:val="0"/>
          <w:sz w:val="21"/>
        </w:rPr>
        <w:t>，检测禁食前后小鼠部分器官带标记的</w:t>
      </w:r>
      <w:r>
        <w:rPr>
          <w:rFonts w:ascii="Times New Roman"/>
          <w:color w:val="000000"/>
          <w:spacing w:val="0"/>
          <w:sz w:val="21"/>
        </w:rPr>
        <w:t xml:space="preserve"> ILC2 </w:t>
      </w:r>
      <w:r>
        <w:rPr>
          <w:rFonts w:ascii="宋体" w:hAnsi="宋体" w:cs="宋体"/>
          <w:color w:val="000000"/>
          <w:spacing w:val="-10"/>
          <w:sz w:val="21"/>
        </w:rPr>
        <w:t>数量（图乙）。由图可</w:t>
      </w:r>
    </w:p>
    <w:p w14:paraId="3FD7CFF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知，禁食后肠黏膜中</w:t>
      </w:r>
      <w:r>
        <w:rPr>
          <w:rFonts w:ascii="Times New Roman"/>
          <w:color w:val="000000"/>
          <w:spacing w:val="0"/>
          <w:sz w:val="21"/>
        </w:rPr>
        <w:t xml:space="preserve"> ILC2 </w:t>
      </w:r>
      <w:r>
        <w:rPr>
          <w:rFonts w:ascii="宋体" w:hAnsi="宋体" w:cs="宋体"/>
          <w:color w:val="000000"/>
          <w:spacing w:val="0"/>
          <w:sz w:val="21"/>
        </w:rPr>
        <w:t>主要迁移到了</w:t>
      </w:r>
      <w:r>
        <w:rPr>
          <w:rFonts w:ascii="Times New Roman"/>
          <w:color w:val="000000"/>
          <w:spacing w:val="0"/>
          <w:sz w:val="21"/>
        </w:rPr>
        <w:t>____________</w:t>
      </w:r>
      <w:r>
        <w:rPr>
          <w:rFonts w:ascii="宋体" w:hAnsi="宋体" w:cs="宋体"/>
          <w:color w:val="000000"/>
          <w:spacing w:val="-7"/>
          <w:sz w:val="21"/>
        </w:rPr>
        <w:t>（填器官名称）。禁食前后血液中</w:t>
      </w:r>
      <w:r>
        <w:rPr>
          <w:rFonts w:ascii="Times New Roman"/>
          <w:color w:val="000000"/>
          <w:spacing w:val="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ILC2 </w:t>
      </w:r>
      <w:r>
        <w:rPr>
          <w:rFonts w:ascii="宋体" w:hAnsi="宋体" w:cs="宋体"/>
          <w:color w:val="000000"/>
          <w:spacing w:val="0"/>
          <w:sz w:val="21"/>
        </w:rPr>
        <w:t>数量无变化，</w:t>
      </w:r>
    </w:p>
    <w:p w14:paraId="399E91D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但不能排除</w:t>
      </w:r>
      <w:r>
        <w:rPr>
          <w:rFonts w:ascii="Times New Roman"/>
          <w:color w:val="000000"/>
          <w:spacing w:val="0"/>
          <w:sz w:val="21"/>
        </w:rPr>
        <w:t xml:space="preserve"> ILC2 </w:t>
      </w:r>
      <w:r>
        <w:rPr>
          <w:rFonts w:ascii="宋体" w:hAnsi="宋体" w:cs="宋体"/>
          <w:color w:val="000000"/>
          <w:spacing w:val="0"/>
          <w:sz w:val="21"/>
        </w:rPr>
        <w:t>经血液途径迁移的可能，理由是</w:t>
      </w:r>
      <w:r>
        <w:rPr>
          <w:rFonts w:ascii="Times New Roman"/>
          <w:color w:val="000000"/>
          <w:spacing w:val="0"/>
          <w:sz w:val="21"/>
        </w:rPr>
        <w:t>____________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6E9729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）为研究</w:t>
      </w:r>
      <w:r>
        <w:rPr>
          <w:rFonts w:ascii="Times New Roman"/>
          <w:color w:val="000000"/>
          <w:spacing w:val="0"/>
          <w:sz w:val="21"/>
        </w:rPr>
        <w:t xml:space="preserve"> ILC2 </w:t>
      </w:r>
      <w:r>
        <w:rPr>
          <w:rFonts w:ascii="宋体" w:hAnsi="宋体" w:cs="宋体"/>
          <w:color w:val="000000"/>
          <w:spacing w:val="0"/>
          <w:sz w:val="21"/>
        </w:rPr>
        <w:t>分泌的</w:t>
      </w:r>
      <w:r>
        <w:rPr>
          <w:rFonts w:ascii="Times New Roman"/>
          <w:color w:val="000000"/>
          <w:spacing w:val="0"/>
          <w:sz w:val="21"/>
        </w:rPr>
        <w:t xml:space="preserve"> IL-5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IL-13 </w:t>
      </w:r>
      <w:r>
        <w:rPr>
          <w:rFonts w:ascii="宋体" w:hAnsi="宋体" w:cs="宋体"/>
          <w:color w:val="000000"/>
          <w:spacing w:val="0"/>
          <w:sz w:val="21"/>
        </w:rPr>
        <w:t>对该器官分泌激素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的影响，取该器官中某种细胞体外培养一段时</w:t>
      </w:r>
    </w:p>
    <w:p w14:paraId="7D9260D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间后，测定激素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的浓度，结果见下表。表中第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组加入的物质为</w:t>
      </w:r>
      <w:r>
        <w:rPr>
          <w:rFonts w:ascii="Times New Roman"/>
          <w:color w:val="000000"/>
          <w:spacing w:val="0"/>
          <w:sz w:val="21"/>
        </w:rPr>
        <w:t>____________</w:t>
      </w:r>
      <w:r>
        <w:rPr>
          <w:rFonts w:ascii="宋体" w:hAnsi="宋体" w:cs="宋体"/>
          <w:color w:val="000000"/>
          <w:spacing w:val="0"/>
          <w:sz w:val="21"/>
        </w:rPr>
        <w:t>。由表可知，</w:t>
      </w:r>
      <w:r>
        <w:rPr>
          <w:rFonts w:ascii="Times New Roman"/>
          <w:color w:val="000000"/>
          <w:spacing w:val="0"/>
          <w:sz w:val="21"/>
        </w:rPr>
        <w:t>IL-5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IL-13</w:t>
      </w:r>
    </w:p>
    <w:p w14:paraId="603DEAF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对激素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分泌的影响是</w:t>
      </w:r>
      <w:r>
        <w:rPr>
          <w:rFonts w:ascii="Times New Roman"/>
          <w:color w:val="000000"/>
          <w:spacing w:val="0"/>
          <w:sz w:val="21"/>
        </w:rPr>
        <w:t>____________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50E417A">
      <w:pPr>
        <w:spacing w:before="29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组别</w:t>
      </w:r>
      <w:r>
        <w:rPr>
          <w:rFonts w:ascii="Times New Roman"/>
          <w:color w:val="000000"/>
          <w:spacing w:val="2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IL-5</w:t>
      </w:r>
      <w:r>
        <w:rPr>
          <w:rFonts w:ascii="Times New Roman"/>
          <w:color w:val="000000"/>
          <w:spacing w:val="27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IL-13</w:t>
      </w:r>
      <w:r>
        <w:rPr>
          <w:rFonts w:ascii="Times New Roman"/>
          <w:color w:val="000000"/>
          <w:spacing w:val="32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激素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浓度（</w:t>
      </w:r>
      <w:r>
        <w:rPr>
          <w:rFonts w:ascii="Times New Roman" w:hAnsi="Times New Roman" w:cs="Times New Roman"/>
          <w:color w:val="000000"/>
          <w:spacing w:val="0"/>
          <w:sz w:val="21"/>
        </w:rPr>
        <w:t>pg·mL</w:t>
      </w:r>
      <w:r>
        <w:rPr>
          <w:rFonts w:ascii="Times New Roman"/>
          <w:color w:val="000000"/>
          <w:spacing w:val="0"/>
          <w:sz w:val="23"/>
          <w:vertAlign w:val="superscript"/>
        </w:rPr>
        <w:t>-1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9F42167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58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7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5.3</w:t>
      </w:r>
    </w:p>
    <w:p w14:paraId="3EBBD1A5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?</w:t>
      </w:r>
      <w:r>
        <w:rPr>
          <w:rFonts w:ascii="Times New Roman"/>
          <w:color w:val="000000"/>
          <w:spacing w:val="56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?</w:t>
      </w:r>
      <w:r>
        <w:rPr>
          <w:rFonts w:ascii="Times New Roman"/>
          <w:color w:val="000000"/>
          <w:spacing w:val="7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15.7</w:t>
      </w:r>
    </w:p>
    <w:p w14:paraId="12546CE0">
      <w:pPr>
        <w:spacing w:before="78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52B953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909903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C722FB8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537660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0" w:name="_GoBack"/>
      <w:bookmarkEnd w:id="0"/>
    </w:p>
    <w:p w14:paraId="160AA436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38" o:spid="_x0000_s1064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39" o:spid="_x0000_s1065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40" o:spid="_x0000_s1066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41" o:spid="_x0000_s1067" o:spt="75" type="#_x0000_t75" style="position:absolute;left:0pt;margin-left:47pt;margin-top:65.05pt;height:65.8pt;width:243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8" o:title=""/>
            <o:lock v:ext="edit" aspectratio="t"/>
          </v:shape>
        </w:pict>
      </w:r>
      <w:r>
        <w:pict>
          <v:shape id="_x000042" o:spid="_x0000_s1068" o:spt="75" type="#_x0000_t75" style="position:absolute;left:0pt;margin-left:53pt;margin-top:250.35pt;height:149.85pt;width:414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9" o:title=""/>
            <o:lock v:ext="edit" aspectratio="t"/>
          </v:shape>
        </w:pict>
      </w:r>
      <w:r>
        <w:pict>
          <v:shape id="_x000043" o:spid="_x0000_s1069" o:spt="75" type="#_x0000_t75" style="position:absolute;left:0pt;margin-left:47pt;margin-top:729.95pt;height:34.25pt;width:335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0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Times New Roman"/>
          <w:color w:val="000000"/>
          <w:spacing w:val="58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Times New Roman"/>
          <w:color w:val="000000"/>
          <w:spacing w:val="6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30.6</w:t>
      </w:r>
    </w:p>
    <w:p w14:paraId="5C4F97FE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Times New Roman"/>
          <w:color w:val="000000"/>
          <w:spacing w:val="5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Times New Roman"/>
          <w:color w:val="000000"/>
          <w:spacing w:val="6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69.2</w:t>
      </w:r>
    </w:p>
    <w:p w14:paraId="738C91B3">
      <w:pPr>
        <w:spacing w:before="3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注：</w:t>
      </w:r>
      <w:r>
        <w:rPr>
          <w:rFonts w:ascii="Times New Roman" w:hAnsi="Times New Roman" w:cs="Times New Roman"/>
          <w:color w:val="000000"/>
          <w:spacing w:val="0"/>
          <w:sz w:val="21"/>
        </w:rPr>
        <w:t>“-”</w:t>
      </w:r>
      <w:r>
        <w:rPr>
          <w:rFonts w:ascii="宋体" w:hAnsi="宋体" w:cs="宋体"/>
          <w:color w:val="000000"/>
          <w:spacing w:val="0"/>
          <w:sz w:val="21"/>
        </w:rPr>
        <w:t>未添加该物质：</w:t>
      </w:r>
      <w:r>
        <w:rPr>
          <w:rFonts w:ascii="Times New Roman" w:hAnsi="Times New Roman" w:cs="Times New Roman"/>
          <w:color w:val="000000"/>
          <w:spacing w:val="0"/>
          <w:sz w:val="21"/>
        </w:rPr>
        <w:t>“+”</w:t>
      </w:r>
      <w:r>
        <w:rPr>
          <w:rFonts w:ascii="宋体" w:hAnsi="宋体" w:cs="宋体"/>
          <w:color w:val="000000"/>
          <w:spacing w:val="0"/>
          <w:sz w:val="21"/>
        </w:rPr>
        <w:t>添加该物质</w:t>
      </w:r>
    </w:p>
    <w:p w14:paraId="2115C03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）综上可知：激素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是</w:t>
      </w:r>
      <w:r>
        <w:rPr>
          <w:rFonts w:ascii="Times New Roman"/>
          <w:color w:val="000000"/>
          <w:spacing w:val="0"/>
          <w:sz w:val="21"/>
        </w:rPr>
        <w:t>__________</w:t>
      </w:r>
      <w:r>
        <w:rPr>
          <w:rFonts w:ascii="宋体" w:hAnsi="宋体" w:cs="宋体"/>
          <w:color w:val="000000"/>
          <w:spacing w:val="0"/>
          <w:sz w:val="21"/>
        </w:rPr>
        <w:t>；饥饿状态下</w:t>
      </w:r>
      <w:r>
        <w:rPr>
          <w:rFonts w:ascii="Times New Roman"/>
          <w:color w:val="000000"/>
          <w:spacing w:val="0"/>
          <w:sz w:val="21"/>
        </w:rPr>
        <w:t xml:space="preserve"> ILC2 </w:t>
      </w:r>
      <w:r>
        <w:rPr>
          <w:rFonts w:ascii="宋体" w:hAnsi="宋体" w:cs="宋体"/>
          <w:color w:val="000000"/>
          <w:spacing w:val="0"/>
          <w:sz w:val="21"/>
        </w:rPr>
        <w:t>参与调控血糖稳态的具体机制是</w:t>
      </w:r>
      <w:r>
        <w:rPr>
          <w:rFonts w:ascii="Times New Roman"/>
          <w:color w:val="000000"/>
          <w:spacing w:val="0"/>
          <w:sz w:val="21"/>
        </w:rPr>
        <w:t>__________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26E66B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杆菌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M2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合成的短肽拉索西丁能有效杀死多种临床耐药细菌。拉索西丁能与细菌的核糖体结合，阻止携</w:t>
      </w:r>
    </w:p>
    <w:p w14:paraId="0602B73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带氨基酸的</w:t>
      </w:r>
      <w:r>
        <w:rPr>
          <w:rFonts w:ascii="Times New Roman"/>
          <w:color w:val="000000"/>
          <w:spacing w:val="0"/>
          <w:sz w:val="21"/>
        </w:rPr>
        <w:t xml:space="preserve"> tRNA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进入核糖体位点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。有人将合成拉索西丁的相关基因（</w:t>
      </w:r>
      <w:r>
        <w:rPr>
          <w:rFonts w:ascii="Times New Roman"/>
          <w:color w:val="000000"/>
          <w:spacing w:val="0"/>
          <w:sz w:val="21"/>
        </w:rPr>
        <w:t>lrcA-lrcF</w:t>
      </w:r>
      <w:r>
        <w:rPr>
          <w:rFonts w:ascii="宋体" w:hAnsi="宋体" w:cs="宋体"/>
          <w:color w:val="000000"/>
          <w:spacing w:val="0"/>
          <w:sz w:val="21"/>
        </w:rPr>
        <w:t>）导入链霉菌，基因克隆</w:t>
      </w:r>
    </w:p>
    <w:p w14:paraId="059BC1D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流程及拉索西丁的作用机制如下图。回答下列问题。</w:t>
      </w:r>
    </w:p>
    <w:p w14:paraId="3004B915">
      <w:pPr>
        <w:spacing w:before="335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5"/>
          <w:sz w:val="21"/>
        </w:rPr>
        <w:t>注：①</w:t>
      </w:r>
      <w:r>
        <w:rPr>
          <w:rFonts w:ascii="Times New Roman"/>
          <w:color w:val="000000"/>
          <w:spacing w:val="0"/>
          <w:sz w:val="21"/>
        </w:rPr>
        <w:t>F1</w:t>
      </w:r>
      <w:r>
        <w:rPr>
          <w:rFonts w:ascii="宋体" w:hAnsi="宋体" w:cs="宋体"/>
          <w:color w:val="000000"/>
          <w:spacing w:val="-16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F2</w:t>
      </w:r>
      <w:r>
        <w:rPr>
          <w:rFonts w:ascii="宋体" w:hAnsi="宋体" w:cs="宋体"/>
          <w:color w:val="000000"/>
          <w:spacing w:val="-16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F3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F4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为与相应位置的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DNA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配对的单链引物，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→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指引物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5-3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方向。②密码子对应的氨基</w:t>
      </w:r>
    </w:p>
    <w:p w14:paraId="6BD51AE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酸：</w:t>
      </w:r>
      <w:r>
        <w:rPr>
          <w:rFonts w:ascii="Times New Roman"/>
          <w:color w:val="000000"/>
          <w:spacing w:val="0"/>
          <w:sz w:val="21"/>
        </w:rPr>
        <w:t>AAA-</w:t>
      </w:r>
      <w:r>
        <w:rPr>
          <w:rFonts w:ascii="宋体" w:hAnsi="宋体" w:cs="宋体"/>
          <w:color w:val="000000"/>
          <w:spacing w:val="0"/>
          <w:sz w:val="21"/>
        </w:rPr>
        <w:t>赖氨酸；</w:t>
      </w:r>
      <w:r>
        <w:rPr>
          <w:rFonts w:ascii="Times New Roman"/>
          <w:color w:val="000000"/>
          <w:spacing w:val="0"/>
          <w:sz w:val="21"/>
        </w:rPr>
        <w:t>AUG-</w:t>
      </w:r>
      <w:r>
        <w:rPr>
          <w:rFonts w:ascii="宋体" w:hAnsi="宋体" w:cs="宋体"/>
          <w:color w:val="000000"/>
          <w:spacing w:val="-12"/>
          <w:sz w:val="21"/>
        </w:rPr>
        <w:t>甲硫氨酸（起始）；</w:t>
      </w:r>
      <w:r>
        <w:rPr>
          <w:rFonts w:ascii="Times New Roman"/>
          <w:color w:val="000000"/>
          <w:spacing w:val="0"/>
          <w:sz w:val="21"/>
        </w:rPr>
        <w:t>UUC-</w:t>
      </w:r>
      <w:r>
        <w:rPr>
          <w:rFonts w:ascii="宋体" w:hAnsi="宋体" w:cs="宋体"/>
          <w:color w:val="000000"/>
          <w:spacing w:val="0"/>
          <w:sz w:val="21"/>
        </w:rPr>
        <w:t>苯丙氨酸；</w:t>
      </w:r>
      <w:r>
        <w:rPr>
          <w:rFonts w:ascii="Times New Roman"/>
          <w:color w:val="000000"/>
          <w:spacing w:val="0"/>
          <w:sz w:val="21"/>
        </w:rPr>
        <w:t>ACA-</w:t>
      </w:r>
      <w:r>
        <w:rPr>
          <w:rFonts w:ascii="宋体" w:hAnsi="宋体" w:cs="宋体"/>
          <w:color w:val="000000"/>
          <w:spacing w:val="0"/>
          <w:sz w:val="21"/>
        </w:rPr>
        <w:t>苏氨酸：</w:t>
      </w:r>
      <w:r>
        <w:rPr>
          <w:rFonts w:ascii="Times New Roman"/>
          <w:color w:val="000000"/>
          <w:spacing w:val="0"/>
          <w:sz w:val="21"/>
        </w:rPr>
        <w:t>UCG-</w:t>
      </w:r>
      <w:r>
        <w:rPr>
          <w:rFonts w:ascii="宋体" w:hAnsi="宋体" w:cs="宋体"/>
          <w:color w:val="000000"/>
          <w:spacing w:val="0"/>
          <w:sz w:val="21"/>
        </w:rPr>
        <w:t>丝氨酸。</w:t>
      </w:r>
    </w:p>
    <w:p w14:paraId="3EDD17B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）用</w:t>
      </w:r>
      <w:r>
        <w:rPr>
          <w:rFonts w:ascii="Times New Roman"/>
          <w:color w:val="000000"/>
          <w:spacing w:val="0"/>
          <w:sz w:val="21"/>
        </w:rPr>
        <w:t xml:space="preserve"> PCR </w:t>
      </w:r>
      <w:r>
        <w:rPr>
          <w:rFonts w:ascii="宋体" w:hAnsi="宋体" w:cs="宋体"/>
          <w:color w:val="000000"/>
          <w:spacing w:val="0"/>
          <w:sz w:val="21"/>
        </w:rPr>
        <w:t>技术从杆菌</w:t>
      </w:r>
      <w:r>
        <w:rPr>
          <w:rFonts w:ascii="Times New Roman"/>
          <w:color w:val="000000"/>
          <w:spacing w:val="0"/>
          <w:sz w:val="21"/>
        </w:rPr>
        <w:t xml:space="preserve"> M2 </w:t>
      </w:r>
      <w:r>
        <w:rPr>
          <w:rFonts w:ascii="宋体" w:hAnsi="宋体" w:cs="宋体"/>
          <w:color w:val="000000"/>
          <w:spacing w:val="0"/>
          <w:sz w:val="21"/>
        </w:rPr>
        <w:t>基因组中扩增</w:t>
      </w:r>
      <w:r>
        <w:rPr>
          <w:rFonts w:ascii="Times New Roman"/>
          <w:color w:val="000000"/>
          <w:spacing w:val="0"/>
          <w:sz w:val="21"/>
        </w:rPr>
        <w:t xml:space="preserve"> lrcA-lrcF </w:t>
      </w:r>
      <w:r>
        <w:rPr>
          <w:rFonts w:ascii="宋体" w:hAnsi="宋体" w:cs="宋体"/>
          <w:color w:val="000000"/>
          <w:spacing w:val="0"/>
          <w:sz w:val="21"/>
        </w:rPr>
        <w:t>目的基因时，应选用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引物。本研究载体使用</w:t>
      </w:r>
    </w:p>
    <w:p w14:paraId="7F58693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了链霉菌的复制原点，其目的是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043FD0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3"/>
          <w:sz w:val="21"/>
        </w:rPr>
        <w:t>）采用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EcoRI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BamHI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完全酶切构建的重组质粒，产物通过琼脂糖凝胶电泳检测应产生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0"/>
          <w:sz w:val="21"/>
        </w:rPr>
        <w:t>条电</w:t>
      </w:r>
    </w:p>
    <w:p w14:paraId="4EB89D0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泳条带，电泳检测酶切产物的目的是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EA1838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）由图可知，拉索西丁与核糖体结合后，会阻止携带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（填氨基酸名称）的</w:t>
      </w:r>
      <w:r>
        <w:rPr>
          <w:rFonts w:ascii="Times New Roman"/>
          <w:color w:val="000000"/>
          <w:spacing w:val="0"/>
          <w:sz w:val="21"/>
        </w:rPr>
        <w:t xml:space="preserve"> tRNA </w:t>
      </w:r>
      <w:r>
        <w:rPr>
          <w:rFonts w:ascii="宋体" w:hAnsi="宋体" w:cs="宋体"/>
          <w:color w:val="000000"/>
          <w:spacing w:val="0"/>
          <w:sz w:val="21"/>
        </w:rPr>
        <w:t>进入结合位点，</w:t>
      </w:r>
    </w:p>
    <w:p w14:paraId="0462FA4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导致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，最终引起细菌死亡。</w:t>
      </w:r>
    </w:p>
    <w:p w14:paraId="3FB40A7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）重组链霉菌的目的基因产物经验证有杀菌活性，但重组菌在实验室多次培养后，提取的目的基因产物</w:t>
      </w:r>
    </w:p>
    <w:p w14:paraId="24DF5E5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杀菌活性丧失，可能的原因是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。若运用发酵工程来生产拉索西丁工程药物，除产物活性外还需进</w:t>
      </w:r>
    </w:p>
    <w:p w14:paraId="2AE80EA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一步研究的问题有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（答出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-21"/>
          <w:sz w:val="21"/>
        </w:rPr>
        <w:t>点即可）。</w:t>
      </w:r>
    </w:p>
    <w:p w14:paraId="3E7C28A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水稻的叶色（紫色、绿色）是一对相对性状，由两对等位基因（</w:t>
      </w:r>
      <w:r>
        <w:rPr>
          <w:rFonts w:ascii="Times New Roman"/>
          <w:color w:val="000000"/>
          <w:spacing w:val="0"/>
          <w:sz w:val="21"/>
        </w:rPr>
        <w:t>A/a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D/d</w:t>
      </w:r>
      <w:r>
        <w:rPr>
          <w:rFonts w:ascii="宋体" w:hAnsi="宋体" w:cs="宋体"/>
          <w:color w:val="000000"/>
          <w:spacing w:val="0"/>
          <w:sz w:val="21"/>
        </w:rPr>
        <w:t>）控制；其籽粒颜色（紫色、</w:t>
      </w:r>
    </w:p>
    <w:p w14:paraId="232725C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棕色和白色）也由两对等位基因控制。为研究水稻叶色和粒色的遗传规律，有人用纯合的水稻植株进行了</w:t>
      </w:r>
    </w:p>
    <w:p w14:paraId="3CC4937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杂交实验，结果见下表。回答下列问题（不考虑基因突变、染色体变异和互换）。</w:t>
      </w:r>
    </w:p>
    <w:p w14:paraId="385F3755">
      <w:pPr>
        <w:spacing w:before="313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亲本</w:t>
      </w:r>
      <w:r>
        <w:rPr>
          <w:rFonts w:ascii="Times New Roman"/>
          <w:color w:val="000000"/>
          <w:spacing w:val="15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表型</w:t>
      </w:r>
      <w:r>
        <w:rPr>
          <w:rFonts w:ascii="Times New Roman"/>
          <w:color w:val="000000"/>
          <w:spacing w:val="2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表型及比例</w:t>
      </w:r>
    </w:p>
    <w:p w14:paraId="443CF51E">
      <w:pPr>
        <w:spacing w:before="28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D115A4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0901662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A40403A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44" o:spid="_x0000_s1070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45" o:spid="_x0000_s1071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46" o:spid="_x0000_s1072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47" o:spid="_x0000_s1073" o:spt="75" type="#_x0000_t75" style="position:absolute;left:0pt;margin-left:47pt;margin-top:65.05pt;height:65.8pt;width:335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实验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Times New Roman"/>
          <w:color w:val="000000"/>
          <w:spacing w:val="2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叶色：紫叶</w:t>
      </w:r>
      <w:r>
        <w:rPr>
          <w:rFonts w:ascii="Times New Roman" w:hAnsi="Times New Roman" w:cs="Times New Roman"/>
          <w:color w:val="000000"/>
          <w:spacing w:val="0"/>
          <w:sz w:val="21"/>
        </w:rPr>
        <w:t>×</w:t>
      </w:r>
      <w:r>
        <w:rPr>
          <w:rFonts w:ascii="宋体" w:hAnsi="宋体" w:cs="宋体"/>
          <w:color w:val="000000"/>
          <w:spacing w:val="0"/>
          <w:sz w:val="21"/>
        </w:rPr>
        <w:t>绿叶</w:t>
      </w:r>
      <w:r>
        <w:rPr>
          <w:rFonts w:ascii="Times New Roman"/>
          <w:color w:val="000000"/>
          <w:spacing w:val="33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紫叶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紫叶：绿叶</w:t>
      </w:r>
      <w:r>
        <w:rPr>
          <w:rFonts w:ascii="Times New Roman"/>
          <w:color w:val="000000"/>
          <w:spacing w:val="0"/>
          <w:sz w:val="21"/>
        </w:rPr>
        <w:t>=9</w:t>
      </w:r>
      <w:r>
        <w:rPr>
          <w:rFonts w:ascii="宋体" w:hAnsi="宋体" w:cs="宋体"/>
          <w:color w:val="000000"/>
          <w:spacing w:val="0"/>
          <w:sz w:val="21"/>
        </w:rPr>
        <w:t>：</w:t>
      </w:r>
      <w:r>
        <w:rPr>
          <w:rFonts w:ascii="Times New Roman"/>
          <w:color w:val="000000"/>
          <w:spacing w:val="0"/>
          <w:sz w:val="21"/>
        </w:rPr>
        <w:t>7</w:t>
      </w:r>
    </w:p>
    <w:p w14:paraId="13DD24E5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Times New Roman"/>
          <w:color w:val="000000"/>
          <w:spacing w:val="2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粒色：紫粒</w:t>
      </w:r>
      <w:r>
        <w:rPr>
          <w:rFonts w:ascii="Times New Roman" w:hAnsi="Times New Roman" w:cs="Times New Roman"/>
          <w:color w:val="000000"/>
          <w:spacing w:val="0"/>
          <w:sz w:val="21"/>
        </w:rPr>
        <w:t>×</w:t>
      </w:r>
      <w:r>
        <w:rPr>
          <w:rFonts w:ascii="宋体" w:hAnsi="宋体" w:cs="宋体"/>
          <w:color w:val="000000"/>
          <w:spacing w:val="0"/>
          <w:sz w:val="21"/>
        </w:rPr>
        <w:t>白粒</w:t>
      </w:r>
      <w:r>
        <w:rPr>
          <w:rFonts w:ascii="Times New Roman"/>
          <w:color w:val="000000"/>
          <w:spacing w:val="33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紫粒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紫粒：棕粒：白粒</w:t>
      </w:r>
      <w:r>
        <w:rPr>
          <w:rFonts w:ascii="Times New Roman"/>
          <w:color w:val="000000"/>
          <w:spacing w:val="0"/>
          <w:sz w:val="21"/>
        </w:rPr>
        <w:t>=9</w:t>
      </w:r>
      <w:r>
        <w:rPr>
          <w:rFonts w:ascii="宋体" w:hAnsi="宋体" w:cs="宋体"/>
          <w:color w:val="000000"/>
          <w:spacing w:val="0"/>
          <w:sz w:val="21"/>
        </w:rPr>
        <w:t>：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：</w:t>
      </w:r>
      <w:r>
        <w:rPr>
          <w:rFonts w:ascii="Times New Roman"/>
          <w:color w:val="000000"/>
          <w:spacing w:val="0"/>
          <w:sz w:val="21"/>
        </w:rPr>
        <w:t>4</w:t>
      </w:r>
    </w:p>
    <w:p w14:paraId="275449DE">
      <w:pPr>
        <w:spacing w:before="770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13"/>
          <w:sz w:val="21"/>
        </w:rPr>
        <w:t>）实验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中，</w:t>
      </w:r>
      <w:r>
        <w:rPr>
          <w:rFonts w:ascii="Times New Roman"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11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的绿叶水稻有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-6"/>
          <w:sz w:val="21"/>
        </w:rPr>
        <w:t>种基因型；实验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中，控制水稻粒色的两对基因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（填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能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</w:p>
    <w:p w14:paraId="55AA4951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不能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）独立遗传。</w:t>
      </w:r>
    </w:p>
    <w:p w14:paraId="318CA4D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）研究发现，基因</w:t>
      </w:r>
      <w:r>
        <w:rPr>
          <w:rFonts w:ascii="Times New Roman"/>
          <w:color w:val="000000"/>
          <w:spacing w:val="0"/>
          <w:sz w:val="21"/>
        </w:rPr>
        <w:t xml:space="preserve"> D/d </w:t>
      </w:r>
      <w:r>
        <w:rPr>
          <w:rFonts w:ascii="宋体" w:hAnsi="宋体" w:cs="宋体"/>
          <w:color w:val="000000"/>
          <w:spacing w:val="0"/>
          <w:sz w:val="21"/>
        </w:rPr>
        <w:t>控制水稻叶色的同时，也控制水稻的粒色。已知基因型为</w:t>
      </w:r>
      <w:r>
        <w:rPr>
          <w:rFonts w:ascii="Times New Roman"/>
          <w:color w:val="000000"/>
          <w:spacing w:val="0"/>
          <w:sz w:val="21"/>
        </w:rPr>
        <w:t xml:space="preserve"> BBdd </w:t>
      </w:r>
      <w:r>
        <w:rPr>
          <w:rFonts w:ascii="宋体" w:hAnsi="宋体" w:cs="宋体"/>
          <w:color w:val="000000"/>
          <w:spacing w:val="0"/>
          <w:sz w:val="21"/>
        </w:rPr>
        <w:t>的水稻籽粒为白</w:t>
      </w:r>
    </w:p>
    <w:p w14:paraId="48336F6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色，则紫叶水稻籽粒的颜色有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-3"/>
          <w:sz w:val="21"/>
        </w:rPr>
        <w:t>种；基因型为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Bbdd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的水稻与基因型为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-2"/>
          <w:sz w:val="21"/>
        </w:rPr>
        <w:t>的水稻杂交，子代籽</w:t>
      </w:r>
    </w:p>
    <w:p w14:paraId="0E841A0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粒的颜色最多。</w:t>
      </w:r>
    </w:p>
    <w:p w14:paraId="6D4F390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）为探究</w:t>
      </w:r>
      <w:r>
        <w:rPr>
          <w:rFonts w:ascii="Times New Roman"/>
          <w:color w:val="000000"/>
          <w:spacing w:val="0"/>
          <w:sz w:val="21"/>
        </w:rPr>
        <w:t xml:space="preserve"> A/a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B/b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的位置关系，用基因型为</w:t>
      </w:r>
      <w:r>
        <w:rPr>
          <w:rFonts w:ascii="Times New Roman"/>
          <w:color w:val="000000"/>
          <w:spacing w:val="0"/>
          <w:sz w:val="21"/>
        </w:rPr>
        <w:t xml:space="preserve"> AaBbDD </w:t>
      </w:r>
      <w:r>
        <w:rPr>
          <w:rFonts w:ascii="宋体" w:hAnsi="宋体" w:cs="宋体"/>
          <w:color w:val="000000"/>
          <w:spacing w:val="0"/>
          <w:sz w:val="21"/>
        </w:rPr>
        <w:t>的水稻植株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与纯合的绿叶棕粒水稻杂交，若</w:t>
      </w:r>
    </w:p>
    <w:p w14:paraId="1AD3616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A/a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B/b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位于非同源染色体上，则理论上子代植株的表型及比例为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FF3807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）研究证实</w:t>
      </w:r>
      <w:r>
        <w:rPr>
          <w:rFonts w:ascii="Times New Roman"/>
          <w:color w:val="000000"/>
          <w:spacing w:val="0"/>
          <w:sz w:val="21"/>
        </w:rPr>
        <w:t xml:space="preserve"> A/a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B/b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均位于水稻的</w:t>
      </w:r>
      <w:r>
        <w:rPr>
          <w:rFonts w:ascii="Times New Roman"/>
          <w:color w:val="000000"/>
          <w:spacing w:val="0"/>
          <w:sz w:val="21"/>
        </w:rPr>
        <w:t xml:space="preserve"> 4 </w:t>
      </w:r>
      <w:r>
        <w:rPr>
          <w:rFonts w:ascii="宋体" w:hAnsi="宋体" w:cs="宋体"/>
          <w:color w:val="000000"/>
          <w:spacing w:val="0"/>
          <w:sz w:val="21"/>
        </w:rPr>
        <w:t>号染色体上，继续开展如下实验，请预测结果。</w:t>
      </w:r>
    </w:p>
    <w:p w14:paraId="17C6EC3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①若用红色和黄色荧光分子分别标记植株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细胞中的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基因，则在一个处于减数分裂Ⅱ的细胞中，最</w:t>
      </w:r>
    </w:p>
    <w:p w14:paraId="2A496C2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多能观察到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个荧光标记。</w:t>
      </w:r>
    </w:p>
    <w:p w14:paraId="716C51A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②若植株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自交，理论上子代中紫叶紫粒植株所占比例为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A02B9F9">
      <w:pPr>
        <w:spacing w:before="7256" w:after="0" w:line="243" w:lineRule="exact"/>
        <w:ind w:left="41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53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ACD071AB-ED37-4C53-9D78-A77B9BCDD1D7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1337B518-C0DF-47CC-82AD-836611EA8AC5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42B1E7B4-2A0C-4B2C-B5FD-BD129E885C05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5B4069AD-3612-42EB-82FF-38447928FFE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52DA30C7-2BF4-41D9-BE18-006049F4779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5342BB2A-4C8D-4C8F-BFD7-B218E7C5DCA2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FA1D37E1-09CE-4D37-AD86-6D0CC8AF66D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88F8DC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348EE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8A1C6E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68E75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35D63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FACE9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  <w:rsid w:val="491A61E0"/>
    <w:rsid w:val="4F1979DD"/>
    <w:rsid w:val="519969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qFormat="1" w:unhideWhenUsed="0" w:uiPriority="4294967295" w:semiHidden="0" w:name="header"/>
    <w:lsdException w:qFormat="1"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qFormat="1" w:unhideWhenUsed="0" w:uiPriority="4294967295" w:semiHidden="0" w:name="Normal Table"/>
    <w:lsdException w:unhideWhenUsed="0" w:uiPriority="4294967295" w:semiHidden="0" w:name="annotation subject"/>
    <w:lsdException w:qFormat="1"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uiPriority w:val="0"/>
  </w:style>
  <w:style w:type="table" w:default="1" w:styleId="4">
    <w:name w:val="Normal Table"/>
    <w:qFormat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footer"/>
    <w:basedOn w:val="1"/>
    <w:qFormat/>
    <w:uiPriority w:val="4294967295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4294967295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20</Pages>
  <Words>5160</Words>
  <Characters>6051</Characters>
  <Lines>0</Lines>
  <Paragraphs>201</Paragraphs>
  <TotalTime>3</TotalTime>
  <ScaleCrop>false</ScaleCrop>
  <LinksUpToDate>false</LinksUpToDate>
  <CharactersWithSpaces>6499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2025-07-04T18:59:00Z</dcterms:created>
  <dc:creator>Administrator</dc:creator>
  <cp:lastModifiedBy>上帝掷骰子吗</cp:lastModifiedBy>
  <dcterms:modified xsi:type="dcterms:W3CDTF">2026-02-10T06:57:55Z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A8EC045DC50E479AB4F65BD6086A5303_12</vt:lpwstr>
  </property>
</Properties>
</file>