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0B3E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10198100</wp:posOffset>
            </wp:positionV>
            <wp:extent cx="342900" cy="2794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42900" cy="279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年浙江省中考道德与法治真题</w:t>
      </w:r>
    </w:p>
    <w:p w14:paraId="0E5C0A21">
      <w:pPr>
        <w:spacing w:line="360"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____</w:t>
      </w:r>
      <w:r>
        <w:rPr>
          <w:rFonts w:ascii="宋体" w:hAnsi="宋体" w:eastAsia="宋体" w:cs="宋体"/>
          <w:b/>
          <w:color w:val="auto"/>
          <w:sz w:val="24"/>
        </w:rPr>
        <w:t>准考证号：</w:t>
      </w:r>
      <w:r>
        <w:rPr>
          <w:rFonts w:ascii="Times New Roman" w:hAnsi="Times New Roman" w:eastAsia="Times New Roman" w:cs="Times New Roman"/>
          <w:b/>
          <w:color w:val="auto"/>
          <w:sz w:val="24"/>
        </w:rPr>
        <w:t>____</w:t>
      </w:r>
      <w:r>
        <w:rPr>
          <w:rFonts w:ascii="宋体" w:hAnsi="宋体" w:eastAsia="宋体" w:cs="宋体"/>
          <w:b/>
          <w:color w:val="auto"/>
          <w:sz w:val="24"/>
        </w:rPr>
        <w:t>座位号：</w:t>
      </w:r>
      <w:r>
        <w:rPr>
          <w:rFonts w:ascii="Times New Roman" w:hAnsi="Times New Roman" w:eastAsia="Times New Roman" w:cs="Times New Roman"/>
          <w:b/>
          <w:color w:val="auto"/>
          <w:sz w:val="24"/>
        </w:rPr>
        <w:t>____</w:t>
      </w:r>
    </w:p>
    <w:p w14:paraId="2AFAC673">
      <w:pPr>
        <w:spacing w:line="360" w:lineRule="auto"/>
        <w:jc w:val="left"/>
      </w:pPr>
      <w:r>
        <w:rPr>
          <w:rFonts w:ascii="宋体" w:hAnsi="宋体" w:eastAsia="宋体" w:cs="宋体"/>
          <w:b/>
          <w:color w:val="auto"/>
          <w:sz w:val="24"/>
        </w:rPr>
        <w:t>考生注意：</w:t>
      </w:r>
    </w:p>
    <w:p w14:paraId="71AA30B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本试题卷分判断题、选择题和综合题三部分。全卷采用闭卷形式。</w:t>
      </w:r>
    </w:p>
    <w:p w14:paraId="0F69699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答题前，请务必将自己的姓名、准考证号用黑色字迹的签字笔或钢笔分别填写在试题卷和答题纸规定的位置上。</w:t>
      </w:r>
    </w:p>
    <w:p w14:paraId="60196F4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答题时，请按照答题纸上“注意事项”的要求，在答题纸相应的位置上规范作答，在本试题卷上的作答一律无效。</w:t>
      </w:r>
    </w:p>
    <w:p w14:paraId="52656DC3">
      <w:pPr>
        <w:spacing w:line="360" w:lineRule="auto"/>
        <w:jc w:val="left"/>
      </w:pPr>
      <w:r>
        <w:rPr>
          <w:rFonts w:ascii="宋体" w:hAnsi="宋体" w:eastAsia="宋体" w:cs="宋体"/>
          <w:b/>
          <w:color w:val="auto"/>
          <w:sz w:val="24"/>
        </w:rPr>
        <w:t>一、判断题（每小题</w:t>
      </w:r>
      <w:r>
        <w:rPr>
          <w:rFonts w:ascii="Times New Roman" w:hAnsi="Times New Roman" w:eastAsia="Times New Roman" w:cs="Times New Roman"/>
          <w:b/>
          <w:color w:val="auto"/>
          <w:sz w:val="24"/>
        </w:rPr>
        <w:t>1</w:t>
      </w:r>
      <w:r>
        <w:rPr>
          <w:rFonts w:ascii="宋体" w:hAnsi="宋体" w:eastAsia="宋体" w:cs="宋体"/>
          <w:b/>
          <w:color w:val="auto"/>
          <w:sz w:val="24"/>
        </w:rPr>
        <w:t>分。判断下列说法是否正确，正确的请将答题纸相应题号后的正确涂黑，错误的请将答题纸相应题号后的错误涂黑）</w:t>
      </w:r>
    </w:p>
    <w:p w14:paraId="4A28C859">
      <w:pPr>
        <w:spacing w:line="360" w:lineRule="auto"/>
        <w:jc w:val="left"/>
        <w:rPr>
          <w:color w:val="000000"/>
        </w:rPr>
      </w:pPr>
      <w:r>
        <w:rPr>
          <w:color w:val="auto"/>
        </w:rPr>
        <w:t xml:space="preserve">1. </w:t>
      </w:r>
      <w:r>
        <w:rPr>
          <w:rFonts w:ascii="宋体" w:hAnsi="宋体" w:eastAsia="宋体" w:cs="宋体"/>
          <w:color w:val="auto"/>
        </w:rPr>
        <w:t>独善其身就能“止于至善”，实现个人道德修养与远大理想的统一。</w:t>
      </w:r>
      <w:r>
        <w:t>（     ）</w:t>
      </w:r>
    </w:p>
    <w:p w14:paraId="215C8E10">
      <w:pPr>
        <w:spacing w:line="360" w:lineRule="auto"/>
        <w:jc w:val="left"/>
        <w:rPr>
          <w:color w:val="000000"/>
        </w:rPr>
      </w:pPr>
      <w:r>
        <w:rPr>
          <w:color w:val="000000"/>
        </w:rPr>
        <w:t xml:space="preserve">2. </w:t>
      </w:r>
      <w:r>
        <w:rPr>
          <w:rFonts w:ascii="宋体" w:hAnsi="宋体" w:eastAsia="宋体" w:cs="宋体"/>
          <w:color w:val="000000"/>
        </w:rPr>
        <w:t>依据我国刑法规定，已满十四周岁的张某犯贩卖毒品罪，应当负刑事责任。</w:t>
      </w:r>
      <w:r>
        <w:rPr>
          <w:color w:val="000000"/>
        </w:rPr>
        <w:t>（     ）</w:t>
      </w:r>
    </w:p>
    <w:p w14:paraId="14BF05D4">
      <w:pPr>
        <w:spacing w:line="360" w:lineRule="auto"/>
        <w:jc w:val="left"/>
        <w:rPr>
          <w:color w:val="000000"/>
        </w:rPr>
      </w:pPr>
      <w:r>
        <w:rPr>
          <w:color w:val="000000"/>
        </w:rPr>
        <w:t xml:space="preserve">3. </w:t>
      </w:r>
      <w:r>
        <w:rPr>
          <w:rFonts w:ascii="宋体" w:hAnsi="宋体" w:eastAsia="宋体" w:cs="宋体"/>
          <w:color w:val="000000"/>
        </w:rPr>
        <w:t>美国对别国加征高额关税，终将损人不利己，阻碍世界经济发展。</w:t>
      </w:r>
      <w:r>
        <w:rPr>
          <w:color w:val="000000"/>
        </w:rPr>
        <w:t>（     ）</w:t>
      </w:r>
    </w:p>
    <w:p w14:paraId="3A0B116F">
      <w:pPr>
        <w:spacing w:line="360" w:lineRule="auto"/>
        <w:jc w:val="left"/>
        <w:rPr>
          <w:color w:val="000000"/>
        </w:rPr>
      </w:pPr>
      <w:r>
        <w:rPr>
          <w:rFonts w:ascii="宋体" w:hAnsi="宋体" w:eastAsia="宋体" w:cs="宋体"/>
          <w:b/>
          <w:color w:val="000000"/>
          <w:sz w:val="24"/>
        </w:rPr>
        <w:t>二、选择题（每小题</w:t>
      </w:r>
      <w:r>
        <w:rPr>
          <w:rFonts w:ascii="Times New Roman" w:hAnsi="Times New Roman" w:eastAsia="Times New Roman" w:cs="Times New Roman"/>
          <w:b/>
          <w:color w:val="000000"/>
          <w:sz w:val="24"/>
        </w:rPr>
        <w:t>2</w:t>
      </w:r>
      <w:r>
        <w:rPr>
          <w:rFonts w:ascii="宋体" w:hAnsi="宋体" w:eastAsia="宋体" w:cs="宋体"/>
          <w:b/>
          <w:color w:val="000000"/>
          <w:sz w:val="24"/>
        </w:rPr>
        <w:t>分。每小题列出的四个备选项中只有一个是符合题目要求的，不选、多选、错选均不得分）</w:t>
      </w:r>
    </w:p>
    <w:p w14:paraId="46E2E3FF">
      <w:pPr>
        <w:spacing w:line="360" w:lineRule="auto"/>
        <w:jc w:val="left"/>
        <w:rPr>
          <w:color w:val="000000"/>
        </w:rPr>
      </w:pPr>
      <w:r>
        <w:rPr>
          <w:color w:val="000000"/>
        </w:rPr>
        <w:t xml:space="preserve">4. </w:t>
      </w:r>
      <w:r>
        <w:rPr>
          <w:rFonts w:ascii="宋体" w:hAnsi="宋体" w:eastAsia="宋体" w:cs="宋体"/>
          <w:color w:val="000000"/>
        </w:rPr>
        <w:t>小华参加了学校的无人机社团，与同学们一起探讨无人机的飞行原理和操控技巧，分享收获，倾诉烦恼，在逐梦蓝天中共同成长。可见，青少年的健康成长需要（</w:t>
      </w:r>
      <w:r>
        <w:rPr>
          <w:rFonts w:ascii="Times New Roman" w:hAnsi="Times New Roman" w:eastAsia="Times New Roman" w:cs="Times New Roman"/>
          <w:color w:val="000000"/>
        </w:rPr>
        <w:t xml:space="preserve">   </w:t>
      </w:r>
      <w:r>
        <w:rPr>
          <w:rFonts w:ascii="宋体" w:hAnsi="宋体" w:eastAsia="宋体" w:cs="宋体"/>
          <w:color w:val="000000"/>
        </w:rPr>
        <w:t>）</w:t>
      </w:r>
    </w:p>
    <w:p w14:paraId="71D30D1A">
      <w:pPr>
        <w:spacing w:line="360" w:lineRule="auto"/>
        <w:jc w:val="left"/>
        <w:rPr>
          <w:color w:val="000000"/>
        </w:rPr>
      </w:pPr>
      <w:r>
        <w:rPr>
          <w:rFonts w:ascii="宋体" w:hAnsi="宋体" w:eastAsia="宋体" w:cs="宋体"/>
          <w:color w:val="000000"/>
        </w:rPr>
        <w:t>①结交志同道合的朋友</w:t>
      </w:r>
    </w:p>
    <w:p w14:paraId="5989CDFA">
      <w:pPr>
        <w:spacing w:line="360" w:lineRule="auto"/>
        <w:jc w:val="left"/>
        <w:rPr>
          <w:color w:val="000000"/>
        </w:rPr>
      </w:pPr>
      <w:r>
        <w:rPr>
          <w:rFonts w:ascii="宋体" w:hAnsi="宋体" w:eastAsia="宋体" w:cs="宋体"/>
          <w:color w:val="000000"/>
        </w:rPr>
        <w:t>②回避青春期的矛盾心理</w:t>
      </w:r>
    </w:p>
    <w:p w14:paraId="677549B1">
      <w:pPr>
        <w:spacing w:line="360" w:lineRule="auto"/>
        <w:jc w:val="left"/>
        <w:rPr>
          <w:color w:val="000000"/>
        </w:rPr>
      </w:pPr>
      <w:r>
        <w:rPr>
          <w:rFonts w:ascii="宋体" w:hAnsi="宋体" w:eastAsia="宋体" w:cs="宋体"/>
          <w:color w:val="000000"/>
        </w:rPr>
        <w:t>③压缩个人生活的空间</w:t>
      </w:r>
    </w:p>
    <w:p w14:paraId="59C41702">
      <w:pPr>
        <w:spacing w:line="360" w:lineRule="auto"/>
        <w:jc w:val="left"/>
        <w:rPr>
          <w:color w:val="000000"/>
        </w:rPr>
      </w:pPr>
      <w:r>
        <w:rPr>
          <w:rFonts w:ascii="宋体" w:hAnsi="宋体" w:eastAsia="宋体" w:cs="宋体"/>
          <w:color w:val="000000"/>
        </w:rPr>
        <w:t>④融入有共同愿景的集体</w:t>
      </w:r>
    </w:p>
    <w:p w14:paraId="33F569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ECF1E75">
      <w:pPr>
        <w:spacing w:line="360" w:lineRule="auto"/>
        <w:jc w:val="left"/>
        <w:textAlignment w:val="center"/>
        <w:rPr>
          <w:color w:val="000000"/>
        </w:rPr>
      </w:pPr>
      <w:r>
        <w:rPr>
          <w:color w:val="000000"/>
        </w:rPr>
        <w:t xml:space="preserve">5. </w:t>
      </w:r>
      <w:r>
        <w:rPr>
          <w:rFonts w:ascii="宋体" w:hAnsi="宋体" w:eastAsia="宋体" w:cs="宋体"/>
          <w:color w:val="000000"/>
        </w:rPr>
        <w:t>“共和国勋章”获得者李振声耕耘田野七十余年，创建了小麦育种新系统，开辟了小麦育种新方向，为实现“让中国人吃饱饭、吃好饭”的目标奋斗不已。这告诉我们要（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98981F1">
      <w:pPr>
        <w:spacing w:line="360" w:lineRule="auto"/>
        <w:jc w:val="left"/>
        <w:textAlignment w:val="center"/>
        <w:rPr>
          <w:color w:val="000000"/>
        </w:rPr>
      </w:pPr>
      <w:r>
        <w:rPr>
          <w:color w:val="000000"/>
        </w:rPr>
        <w:t xml:space="preserve">A. </w:t>
      </w:r>
      <w:r>
        <w:rPr>
          <w:rFonts w:ascii="宋体" w:hAnsi="宋体" w:eastAsia="宋体" w:cs="宋体"/>
          <w:color w:val="000000"/>
        </w:rPr>
        <w:t>在实践中培养否定一切的精神</w:t>
      </w:r>
    </w:p>
    <w:p w14:paraId="3F71257A">
      <w:pPr>
        <w:spacing w:line="360" w:lineRule="auto"/>
        <w:jc w:val="left"/>
        <w:textAlignment w:val="center"/>
        <w:rPr>
          <w:color w:val="000000"/>
        </w:rPr>
      </w:pPr>
      <w:r>
        <w:rPr>
          <w:color w:val="000000"/>
        </w:rPr>
        <w:t xml:space="preserve">B. </w:t>
      </w:r>
      <w:r>
        <w:rPr>
          <w:rFonts w:ascii="宋体" w:hAnsi="宋体" w:eastAsia="宋体" w:cs="宋体"/>
          <w:color w:val="000000"/>
        </w:rPr>
        <w:t>在奉献社会中欣赏与接纳自己</w:t>
      </w:r>
    </w:p>
    <w:p w14:paraId="7B7734BB">
      <w:pPr>
        <w:spacing w:line="360" w:lineRule="auto"/>
        <w:jc w:val="left"/>
        <w:textAlignment w:val="center"/>
        <w:rPr>
          <w:color w:val="000000"/>
        </w:rPr>
      </w:pPr>
      <w:r>
        <w:rPr>
          <w:color w:val="000000"/>
        </w:rPr>
        <w:t xml:space="preserve">C. </w:t>
      </w:r>
      <w:r>
        <w:rPr>
          <w:rFonts w:ascii="宋体" w:hAnsi="宋体" w:eastAsia="宋体" w:cs="宋体"/>
          <w:color w:val="000000"/>
        </w:rPr>
        <w:t>在挫折中锻造克服困难的意志</w:t>
      </w:r>
    </w:p>
    <w:p w14:paraId="3995226D">
      <w:pPr>
        <w:spacing w:line="360" w:lineRule="auto"/>
        <w:jc w:val="left"/>
        <w:textAlignment w:val="center"/>
        <w:rPr>
          <w:color w:val="000000"/>
        </w:rPr>
      </w:pPr>
      <w:r>
        <w:rPr>
          <w:color w:val="000000"/>
        </w:rPr>
        <w:t xml:space="preserve">D. </w:t>
      </w:r>
      <w:r>
        <w:rPr>
          <w:rFonts w:ascii="宋体" w:hAnsi="宋体" w:eastAsia="宋体" w:cs="宋体"/>
          <w:color w:val="000000"/>
        </w:rPr>
        <w:t>在劳动和创造中实现人生价值</w:t>
      </w:r>
    </w:p>
    <w:p w14:paraId="1D7F1FF8">
      <w:pPr>
        <w:spacing w:line="360" w:lineRule="auto"/>
        <w:jc w:val="left"/>
        <w:textAlignment w:val="center"/>
        <w:rPr>
          <w:color w:val="000000"/>
        </w:rPr>
      </w:pPr>
      <w:r>
        <w:rPr>
          <w:color w:val="000000"/>
        </w:rPr>
        <w:t xml:space="preserve">6. </w:t>
      </w:r>
      <w:r>
        <w:rPr>
          <w:rFonts w:ascii="宋体" w:hAnsi="宋体" w:eastAsia="宋体" w:cs="宋体"/>
          <w:color w:val="000000"/>
        </w:rPr>
        <w:t>北京国家图书馆举办宪法系列讲座，杭州五四宪法历史资料陈列馆组织“普法百校行”活动，广州地铁打造宪法宣传专列……开展这些宪法宣传活动旨在（</w:t>
      </w:r>
      <w:r>
        <w:rPr>
          <w:rFonts w:ascii="Times New Roman" w:hAnsi="Times New Roman" w:eastAsia="Times New Roman" w:cs="Times New Roman"/>
          <w:color w:val="000000"/>
        </w:rPr>
        <w:t xml:space="preserve">   </w:t>
      </w:r>
      <w:r>
        <w:rPr>
          <w:rFonts w:ascii="宋体" w:hAnsi="宋体" w:eastAsia="宋体" w:cs="宋体"/>
          <w:color w:val="000000"/>
        </w:rPr>
        <w:t>）</w:t>
      </w:r>
    </w:p>
    <w:p w14:paraId="607CD97D">
      <w:pPr>
        <w:spacing w:line="360" w:lineRule="auto"/>
        <w:jc w:val="left"/>
        <w:textAlignment w:val="center"/>
        <w:rPr>
          <w:color w:val="000000"/>
        </w:rPr>
      </w:pPr>
      <w:r>
        <w:rPr>
          <w:rFonts w:ascii="宋体" w:hAnsi="宋体" w:eastAsia="宋体" w:cs="宋体"/>
          <w:color w:val="000000"/>
        </w:rPr>
        <w:t>①确立宪法的最高法律地位</w:t>
      </w:r>
    </w:p>
    <w:p w14:paraId="011CC377">
      <w:pPr>
        <w:spacing w:line="360" w:lineRule="auto"/>
        <w:jc w:val="left"/>
        <w:textAlignment w:val="center"/>
        <w:rPr>
          <w:color w:val="000000"/>
        </w:rPr>
      </w:pPr>
      <w:r>
        <w:rPr>
          <w:rFonts w:ascii="宋体" w:hAnsi="宋体" w:eastAsia="宋体" w:cs="宋体"/>
          <w:color w:val="000000"/>
        </w:rPr>
        <w:t>②增强公民的宪法意识</w:t>
      </w:r>
    </w:p>
    <w:p w14:paraId="55D98D32">
      <w:pPr>
        <w:spacing w:line="360" w:lineRule="auto"/>
        <w:jc w:val="left"/>
        <w:textAlignment w:val="center"/>
        <w:rPr>
          <w:color w:val="000000"/>
        </w:rPr>
      </w:pPr>
      <w:r>
        <w:rPr>
          <w:rFonts w:ascii="宋体" w:hAnsi="宋体" w:eastAsia="宋体" w:cs="宋体"/>
          <w:color w:val="000000"/>
        </w:rPr>
        <w:t>③加强宪法实施的监督检查</w:t>
      </w:r>
    </w:p>
    <w:p w14:paraId="15B09096">
      <w:pPr>
        <w:spacing w:line="360" w:lineRule="auto"/>
        <w:jc w:val="left"/>
        <w:textAlignment w:val="center"/>
        <w:rPr>
          <w:color w:val="000000"/>
        </w:rPr>
      </w:pPr>
      <w:r>
        <w:rPr>
          <w:rFonts w:ascii="宋体" w:hAnsi="宋体" w:eastAsia="宋体" w:cs="宋体"/>
          <w:color w:val="000000"/>
        </w:rPr>
        <w:t>④促进公民践行宪法精神</w:t>
      </w:r>
    </w:p>
    <w:p w14:paraId="257DDF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02F3FA4">
      <w:pPr>
        <w:spacing w:line="360" w:lineRule="auto"/>
        <w:jc w:val="left"/>
        <w:textAlignment w:val="center"/>
        <w:rPr>
          <w:color w:val="000000"/>
        </w:rPr>
      </w:pPr>
      <w:r>
        <w:rPr>
          <w:color w:val="000000"/>
        </w:rPr>
        <w:t xml:space="preserve">7. </w:t>
      </w:r>
      <w:r>
        <w:rPr>
          <w:rFonts w:ascii="宋体" w:hAnsi="宋体" w:eastAsia="宋体" w:cs="宋体"/>
          <w:color w:val="000000"/>
        </w:rPr>
        <w:t>下列行为符合我国法治要求的是（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AB363F">
      <w:pPr>
        <w:spacing w:line="360" w:lineRule="auto"/>
        <w:jc w:val="left"/>
        <w:textAlignment w:val="center"/>
        <w:rPr>
          <w:color w:val="000000"/>
        </w:rPr>
      </w:pPr>
      <w:r>
        <w:rPr>
          <w:rFonts w:ascii="宋体" w:hAnsi="宋体" w:eastAsia="宋体" w:cs="宋体"/>
          <w:color w:val="000000"/>
        </w:rPr>
        <w:t>①纳税人赵某通过电子税务局</w:t>
      </w:r>
      <w:r>
        <w:rPr>
          <w:rFonts w:ascii="Times New Roman" w:hAnsi="Times New Roman" w:eastAsia="Times New Roman" w:cs="Times New Roman"/>
          <w:color w:val="000000"/>
        </w:rPr>
        <w:t>APP</w:t>
      </w:r>
      <w:r>
        <w:rPr>
          <w:rFonts w:ascii="宋体" w:hAnsi="宋体" w:eastAsia="宋体" w:cs="宋体"/>
          <w:color w:val="000000"/>
        </w:rPr>
        <w:t>按规定及时缴纳税款</w:t>
      </w:r>
    </w:p>
    <w:p w14:paraId="72829F7C">
      <w:pPr>
        <w:spacing w:line="360" w:lineRule="auto"/>
        <w:jc w:val="left"/>
        <w:textAlignment w:val="center"/>
        <w:rPr>
          <w:color w:val="000000"/>
        </w:rPr>
      </w:pPr>
      <w:r>
        <w:rPr>
          <w:rFonts w:ascii="宋体" w:hAnsi="宋体" w:eastAsia="宋体" w:cs="宋体"/>
          <w:color w:val="000000"/>
        </w:rPr>
        <w:t>②物业经理钱某没收本小区业主乱停乱放的电动自行车</w:t>
      </w:r>
    </w:p>
    <w:p w14:paraId="064888EC">
      <w:pPr>
        <w:spacing w:line="360" w:lineRule="auto"/>
        <w:jc w:val="left"/>
        <w:textAlignment w:val="center"/>
        <w:rPr>
          <w:color w:val="000000"/>
        </w:rPr>
      </w:pPr>
      <w:r>
        <w:rPr>
          <w:rFonts w:ascii="宋体" w:hAnsi="宋体" w:eastAsia="宋体" w:cs="宋体"/>
          <w:color w:val="000000"/>
        </w:rPr>
        <w:t>③检察官孙某依法对电信网络诈骗犯罪嫌疑人提起公诉</w:t>
      </w:r>
    </w:p>
    <w:p w14:paraId="5A5E27CC">
      <w:pPr>
        <w:spacing w:line="360" w:lineRule="auto"/>
        <w:jc w:val="left"/>
        <w:textAlignment w:val="center"/>
        <w:rPr>
          <w:color w:val="000000"/>
        </w:rPr>
      </w:pPr>
      <w:r>
        <w:rPr>
          <w:rFonts w:ascii="宋体" w:hAnsi="宋体" w:eastAsia="宋体" w:cs="宋体"/>
          <w:color w:val="000000"/>
        </w:rPr>
        <w:t>④影迷李某在影院擅自摄录电影并发至网上供他人下载</w:t>
      </w:r>
    </w:p>
    <w:p w14:paraId="0B3C43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EE1C1F1">
      <w:pPr>
        <w:spacing w:line="360" w:lineRule="auto"/>
        <w:jc w:val="left"/>
        <w:textAlignment w:val="center"/>
        <w:rPr>
          <w:color w:val="000000"/>
        </w:rPr>
      </w:pPr>
      <w:r>
        <w:rPr>
          <w:color w:val="000000"/>
        </w:rPr>
        <w:t xml:space="preserve">8. </w:t>
      </w:r>
      <w:r>
        <w:rPr>
          <w:rFonts w:ascii="宋体" w:hAnsi="宋体" w:eastAsia="宋体" w:cs="宋体"/>
          <w:color w:val="000000"/>
        </w:rPr>
        <w:t>某市人大常委会在制定“城市更新条例”的过程中，通过线上问卷、社区座谈会、听证会等方式广泛征求市民意见，并根据建议对草案作出百余处修改。这一过程是（</w:t>
      </w:r>
      <w:r>
        <w:rPr>
          <w:rFonts w:ascii="Times New Roman" w:hAnsi="Times New Roman" w:eastAsia="Times New Roman" w:cs="Times New Roman"/>
          <w:color w:val="000000"/>
        </w:rPr>
        <w:t xml:space="preserve">   </w:t>
      </w:r>
      <w:r>
        <w:rPr>
          <w:rFonts w:ascii="宋体" w:hAnsi="宋体" w:eastAsia="宋体" w:cs="宋体"/>
          <w:color w:val="000000"/>
        </w:rPr>
        <w:t>）</w:t>
      </w:r>
    </w:p>
    <w:p w14:paraId="20BDE0FE">
      <w:pPr>
        <w:spacing w:line="360" w:lineRule="auto"/>
        <w:jc w:val="left"/>
        <w:textAlignment w:val="center"/>
        <w:rPr>
          <w:color w:val="000000"/>
        </w:rPr>
      </w:pPr>
      <w:r>
        <w:rPr>
          <w:color w:val="000000"/>
        </w:rPr>
        <w:t xml:space="preserve">A. </w:t>
      </w:r>
      <w:r>
        <w:rPr>
          <w:rFonts w:ascii="宋体" w:hAnsi="宋体" w:eastAsia="宋体" w:cs="宋体"/>
          <w:color w:val="000000"/>
        </w:rPr>
        <w:t>全过程人民民主的体现</w:t>
      </w:r>
    </w:p>
    <w:p w14:paraId="2FD83746">
      <w:pPr>
        <w:spacing w:line="360" w:lineRule="auto"/>
        <w:jc w:val="left"/>
        <w:textAlignment w:val="center"/>
        <w:rPr>
          <w:color w:val="000000"/>
        </w:rPr>
      </w:pPr>
      <w:r>
        <w:rPr>
          <w:color w:val="000000"/>
        </w:rPr>
        <w:t xml:space="preserve">B. </w:t>
      </w:r>
      <w:r>
        <w:rPr>
          <w:rFonts w:ascii="宋体" w:hAnsi="宋体" w:eastAsia="宋体" w:cs="宋体"/>
          <w:color w:val="000000"/>
        </w:rPr>
        <w:t>公民民主政治权利扩大的表现</w:t>
      </w:r>
    </w:p>
    <w:p w14:paraId="1358776F">
      <w:pPr>
        <w:spacing w:line="360" w:lineRule="auto"/>
        <w:jc w:val="left"/>
        <w:textAlignment w:val="center"/>
        <w:rPr>
          <w:color w:val="000000"/>
        </w:rPr>
      </w:pPr>
      <w:r>
        <w:rPr>
          <w:color w:val="000000"/>
        </w:rPr>
        <w:t xml:space="preserve">C. </w:t>
      </w:r>
      <w:r>
        <w:rPr>
          <w:rFonts w:ascii="宋体" w:hAnsi="宋体" w:eastAsia="宋体" w:cs="宋体"/>
          <w:color w:val="000000"/>
        </w:rPr>
        <w:t>选举民主独特优势的彰显</w:t>
      </w:r>
    </w:p>
    <w:p w14:paraId="0D08B17D">
      <w:pPr>
        <w:spacing w:line="360" w:lineRule="auto"/>
        <w:jc w:val="left"/>
        <w:textAlignment w:val="center"/>
        <w:rPr>
          <w:color w:val="000000"/>
        </w:rPr>
      </w:pPr>
      <w:r>
        <w:rPr>
          <w:color w:val="000000"/>
        </w:rPr>
        <w:t xml:space="preserve">D. </w:t>
      </w:r>
      <w:r>
        <w:rPr>
          <w:rFonts w:ascii="宋体" w:hAnsi="宋体" w:eastAsia="宋体" w:cs="宋体"/>
          <w:color w:val="000000"/>
        </w:rPr>
        <w:t>人民代表大会行使决定权的体现</w:t>
      </w:r>
    </w:p>
    <w:p w14:paraId="118EF422">
      <w:pPr>
        <w:spacing w:line="360" w:lineRule="auto"/>
        <w:jc w:val="left"/>
        <w:textAlignment w:val="center"/>
        <w:rPr>
          <w:color w:val="000000"/>
        </w:rPr>
      </w:pPr>
      <w:r>
        <w:rPr>
          <w:color w:val="000000"/>
        </w:rPr>
        <w:t xml:space="preserve">9. </w:t>
      </w:r>
      <w:r>
        <w:rPr>
          <w:rFonts w:ascii="宋体" w:hAnsi="宋体" w:eastAsia="宋体" w:cs="宋体"/>
          <w:color w:val="000000"/>
        </w:rPr>
        <w:t>某小组围绕浙江的非物质文化遗产（简称“非遗”）开展探究学习，搜集到以下资料：</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14:paraId="0277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ABDA0">
            <w:pPr>
              <w:spacing w:line="360" w:lineRule="auto"/>
              <w:jc w:val="left"/>
              <w:textAlignment w:val="center"/>
              <w:rPr>
                <w:color w:val="000000"/>
              </w:rPr>
            </w:pPr>
            <w:r>
              <w:rPr>
                <w:rFonts w:ascii="宋体" w:hAnsi="宋体" w:eastAsia="宋体" w:cs="宋体"/>
                <w:color w:val="000000"/>
              </w:rPr>
              <w:t>☆截至</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月，浙江拥有国家级非遗代表性传承人</w:t>
            </w:r>
            <w:r>
              <w:rPr>
                <w:rFonts w:ascii="Times New Roman" w:hAnsi="Times New Roman" w:eastAsia="Times New Roman" w:cs="Times New Roman"/>
                <w:color w:val="000000"/>
              </w:rPr>
              <w:t>271</w:t>
            </w:r>
            <w:r>
              <w:rPr>
                <w:rFonts w:ascii="宋体" w:hAnsi="宋体" w:eastAsia="宋体" w:cs="宋体"/>
                <w:color w:val="000000"/>
              </w:rPr>
              <w:t>人，总数居全国第一。</w:t>
            </w:r>
          </w:p>
          <w:p w14:paraId="0A2E0856">
            <w:pPr>
              <w:spacing w:line="360" w:lineRule="auto"/>
              <w:jc w:val="left"/>
              <w:textAlignment w:val="center"/>
              <w:rPr>
                <w:color w:val="000000"/>
              </w:rPr>
            </w:pPr>
            <w:r>
              <w:rPr>
                <w:rFonts w:ascii="宋体" w:hAnsi="宋体" w:eastAsia="宋体" w:cs="宋体"/>
                <w:color w:val="000000"/>
              </w:rPr>
              <w:t>☆近年来，浙江各地陆续推出非遗研学项目，吸引学生踊跃参加</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FDBE0B0">
            <w:pPr>
              <w:spacing w:line="360" w:lineRule="auto"/>
              <w:jc w:val="left"/>
              <w:textAlignment w:val="center"/>
              <w:rPr>
                <w:color w:val="000000"/>
              </w:rPr>
            </w:pPr>
            <w:r>
              <w:rPr>
                <w:rFonts w:ascii="宋体" w:hAnsi="宋体" w:eastAsia="宋体" w:cs="宋体"/>
                <w:color w:val="000000"/>
              </w:rPr>
              <w:t>☆浙江有关单位在国内外举办各类展览，展示杭州</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丝绸、宁波的朱金漆木雕、温州的瓯塑等，参观者纷纷为浙江的非遗点赞。</w:t>
            </w:r>
          </w:p>
        </w:tc>
      </w:tr>
    </w:tbl>
    <w:p w14:paraId="23ACE2F3">
      <w:pPr>
        <w:spacing w:line="360" w:lineRule="auto"/>
        <w:jc w:val="left"/>
        <w:textAlignment w:val="center"/>
        <w:rPr>
          <w:color w:val="000000"/>
        </w:rPr>
      </w:pPr>
      <w:r>
        <w:rPr>
          <w:rFonts w:ascii="宋体" w:hAnsi="宋体" w:eastAsia="宋体" w:cs="宋体"/>
          <w:color w:val="000000"/>
        </w:rPr>
        <w:t>如果要为这一探究确定主题，最恰当的是（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D4ADA3">
      <w:pPr>
        <w:spacing w:line="360" w:lineRule="auto"/>
        <w:jc w:val="left"/>
        <w:textAlignment w:val="center"/>
        <w:rPr>
          <w:color w:val="000000"/>
        </w:rPr>
      </w:pPr>
      <w:r>
        <w:rPr>
          <w:color w:val="000000"/>
        </w:rPr>
        <w:t xml:space="preserve">A. </w:t>
      </w:r>
      <w:r>
        <w:rPr>
          <w:rFonts w:ascii="宋体" w:hAnsi="宋体" w:eastAsia="宋体" w:cs="宋体"/>
          <w:color w:val="000000"/>
        </w:rPr>
        <w:t>不忘本来，弘扬传统文化</w:t>
      </w:r>
    </w:p>
    <w:p w14:paraId="7B85D9C2">
      <w:pPr>
        <w:spacing w:line="360" w:lineRule="auto"/>
        <w:jc w:val="left"/>
        <w:textAlignment w:val="center"/>
        <w:rPr>
          <w:color w:val="000000"/>
        </w:rPr>
      </w:pPr>
      <w:r>
        <w:rPr>
          <w:color w:val="000000"/>
        </w:rPr>
        <w:t xml:space="preserve">B. </w:t>
      </w:r>
      <w:r>
        <w:rPr>
          <w:rFonts w:ascii="宋体" w:hAnsi="宋体" w:eastAsia="宋体" w:cs="宋体"/>
          <w:color w:val="000000"/>
        </w:rPr>
        <w:t>立足实践，创造非遗文化</w:t>
      </w:r>
    </w:p>
    <w:p w14:paraId="7FA13FFB">
      <w:pPr>
        <w:spacing w:line="360" w:lineRule="auto"/>
        <w:jc w:val="left"/>
        <w:textAlignment w:val="center"/>
        <w:rPr>
          <w:color w:val="000000"/>
        </w:rPr>
      </w:pPr>
      <w:r>
        <w:rPr>
          <w:color w:val="000000"/>
        </w:rPr>
        <w:t xml:space="preserve">C. </w:t>
      </w:r>
      <w:r>
        <w:rPr>
          <w:rFonts w:ascii="宋体" w:hAnsi="宋体" w:eastAsia="宋体" w:cs="宋体"/>
          <w:color w:val="000000"/>
        </w:rPr>
        <w:t>传承非遗，坚定文化自信</w:t>
      </w:r>
    </w:p>
    <w:p w14:paraId="61B42E51">
      <w:pPr>
        <w:spacing w:line="360" w:lineRule="auto"/>
        <w:jc w:val="left"/>
        <w:textAlignment w:val="center"/>
        <w:rPr>
          <w:color w:val="000000"/>
        </w:rPr>
      </w:pPr>
      <w:r>
        <w:rPr>
          <w:color w:val="000000"/>
        </w:rPr>
        <w:t xml:space="preserve">D. </w:t>
      </w:r>
      <w:r>
        <w:rPr>
          <w:rFonts w:ascii="宋体" w:hAnsi="宋体" w:eastAsia="宋体" w:cs="宋体"/>
          <w:color w:val="000000"/>
        </w:rPr>
        <w:t>交流互鉴，实现文化融合</w:t>
      </w:r>
    </w:p>
    <w:p w14:paraId="29C1A9FB">
      <w:pPr>
        <w:spacing w:line="360" w:lineRule="auto"/>
        <w:jc w:val="left"/>
        <w:textAlignment w:val="center"/>
        <w:rPr>
          <w:color w:val="000000"/>
        </w:rPr>
      </w:pPr>
      <w:r>
        <w:rPr>
          <w:color w:val="000000"/>
        </w:rPr>
        <w:t xml:space="preserve">10. </w:t>
      </w:r>
      <w:r>
        <w:rPr>
          <w:rFonts w:ascii="宋体" w:hAnsi="宋体" w:eastAsia="宋体" w:cs="宋体"/>
          <w:color w:val="000000"/>
        </w:rPr>
        <w:t>下表为</w:t>
      </w:r>
      <w:r>
        <w:rPr>
          <w:rFonts w:ascii="Times New Roman" w:hAnsi="Times New Roman" w:eastAsia="Times New Roman" w:cs="Times New Roman"/>
          <w:color w:val="000000"/>
        </w:rPr>
        <w:t>2012</w:t>
      </w:r>
      <w:r>
        <w:rPr>
          <w:rFonts w:ascii="宋体" w:hAnsi="宋体" w:eastAsia="宋体" w:cs="宋体"/>
          <w:color w:val="000000"/>
        </w:rPr>
        <w:t>年和</w:t>
      </w:r>
      <w:r>
        <w:rPr>
          <w:rFonts w:ascii="Times New Roman" w:hAnsi="Times New Roman" w:eastAsia="Times New Roman" w:cs="Times New Roman"/>
          <w:color w:val="000000"/>
        </w:rPr>
        <w:t>2024</w:t>
      </w:r>
      <w:r>
        <w:rPr>
          <w:rFonts w:ascii="宋体" w:hAnsi="宋体" w:eastAsia="宋体" w:cs="宋体"/>
          <w:color w:val="000000"/>
        </w:rPr>
        <w:t>年我国民营企业发展相关情况。据此可推断出（</w:t>
      </w:r>
      <w:r>
        <w:rPr>
          <w:rFonts w:ascii="Times New Roman" w:hAnsi="Times New Roman" w:eastAsia="Times New Roman" w:cs="Times New Roman"/>
          <w:color w:val="000000"/>
        </w:rPr>
        <w:t xml:space="preserve">   </w:t>
      </w:r>
      <w:r>
        <w:rPr>
          <w:rFonts w:ascii="宋体" w:hAnsi="宋体" w:eastAsia="宋体" w:cs="宋体"/>
          <w:color w:val="000000"/>
        </w:rPr>
        <w:t>）</w:t>
      </w:r>
    </w:p>
    <w:p w14:paraId="5BB6118F">
      <w:pPr>
        <w:spacing w:line="360" w:lineRule="auto"/>
        <w:jc w:val="left"/>
        <w:textAlignment w:val="center"/>
        <w:rPr>
          <w:color w:val="000000"/>
        </w:rPr>
      </w:pPr>
      <w:r>
        <w:rPr>
          <w:rFonts w:ascii="Times New Roman" w:hAnsi="Times New Roman" w:eastAsia="Times New Roman" w:cs="Times New Roman"/>
          <w:color w:val="000000"/>
        </w:rPr>
        <w:t>2012</w:t>
      </w:r>
      <w:r>
        <w:rPr>
          <w:rFonts w:ascii="宋体" w:hAnsi="宋体" w:eastAsia="宋体" w:cs="宋体"/>
          <w:color w:val="000000"/>
        </w:rPr>
        <w:t>年和</w:t>
      </w:r>
      <w:r>
        <w:rPr>
          <w:rFonts w:ascii="Times New Roman" w:hAnsi="Times New Roman" w:eastAsia="Times New Roman" w:cs="Times New Roman"/>
          <w:color w:val="000000"/>
        </w:rPr>
        <w:t>2024</w:t>
      </w:r>
      <w:r>
        <w:rPr>
          <w:rFonts w:ascii="宋体" w:hAnsi="宋体" w:eastAsia="宋体" w:cs="宋体"/>
          <w:color w:val="000000"/>
        </w:rPr>
        <w:t>年我国民营企业发展相关情况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139"/>
        <w:gridCol w:w="2784"/>
        <w:gridCol w:w="1139"/>
        <w:gridCol w:w="2784"/>
      </w:tblGrid>
      <w:tr w14:paraId="79D9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77332">
            <w:pPr>
              <w:spacing w:line="360" w:lineRule="auto"/>
              <w:jc w:val="left"/>
              <w:textAlignment w:val="center"/>
              <w:rPr>
                <w:color w:val="000000"/>
              </w:rPr>
            </w:pPr>
            <w:r>
              <w:rPr>
                <w:rFonts w:ascii="宋体" w:hAnsi="宋体" w:eastAsia="宋体" w:cs="宋体"/>
                <w:color w:val="000000"/>
              </w:rPr>
              <w:t>年份</w:t>
            </w:r>
          </w:p>
          <w:p w14:paraId="4A76ACB4">
            <w:pPr>
              <w:spacing w:line="360" w:lineRule="auto"/>
              <w:jc w:val="left"/>
              <w:textAlignment w:val="center"/>
              <w:rPr>
                <w:color w:val="000000"/>
              </w:rPr>
            </w:pPr>
            <w:r>
              <w:rPr>
                <w:rFonts w:ascii="宋体" w:hAnsi="宋体" w:eastAsia="宋体" w:cs="宋体"/>
                <w:color w:val="000000"/>
              </w:rPr>
              <w:t>类别</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D1CCB">
            <w:pPr>
              <w:spacing w:line="360" w:lineRule="auto"/>
              <w:jc w:val="left"/>
              <w:textAlignment w:val="center"/>
              <w:rPr>
                <w:color w:val="000000"/>
              </w:rPr>
            </w:pPr>
            <w:r>
              <w:rPr>
                <w:rFonts w:ascii="Times New Roman" w:hAnsi="Times New Roman" w:eastAsia="Times New Roman" w:cs="Times New Roman"/>
                <w:color w:val="000000"/>
              </w:rPr>
              <w:t>2012</w:t>
            </w:r>
            <w:r>
              <w:rPr>
                <w:rFonts w:ascii="宋体" w:hAnsi="宋体" w:eastAsia="宋体" w:cs="宋体"/>
                <w:color w:val="000000"/>
              </w:rPr>
              <w:t>年</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6327D">
            <w:pPr>
              <w:spacing w:line="360" w:lineRule="auto"/>
              <w:jc w:val="left"/>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w:t>
            </w:r>
          </w:p>
        </w:tc>
      </w:tr>
      <w:tr w14:paraId="3A63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C9A6A">
            <w:pPr>
              <w:spacing w:line="360" w:lineRule="auto"/>
              <w:jc w:val="left"/>
              <w:textAlignment w:val="center"/>
              <w:rPr>
                <w:color w:val="000000"/>
              </w:rPr>
            </w:pPr>
            <w:r>
              <w:rPr>
                <w:rFonts w:ascii="宋体" w:hAnsi="宋体" w:eastAsia="宋体" w:cs="宋体"/>
                <w:color w:val="000000"/>
              </w:rPr>
              <w:t>民营企业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E6076">
            <w:pPr>
              <w:spacing w:line="360" w:lineRule="auto"/>
              <w:jc w:val="left"/>
              <w:textAlignment w:val="center"/>
              <w:rPr>
                <w:color w:val="000000"/>
              </w:rPr>
            </w:pPr>
            <w:r>
              <w:rPr>
                <w:rFonts w:ascii="宋体" w:hAnsi="宋体" w:eastAsia="宋体" w:cs="宋体"/>
                <w:color w:val="000000"/>
              </w:rPr>
              <w:t>数量</w:t>
            </w:r>
            <w:r>
              <w:rPr>
                <w:rFonts w:ascii="Times New Roman" w:hAnsi="Times New Roman" w:eastAsia="Times New Roman" w:cs="Times New Roman"/>
                <w:color w:val="000000"/>
              </w:rPr>
              <w:t>/</w:t>
            </w:r>
            <w:r>
              <w:rPr>
                <w:rFonts w:ascii="宋体" w:hAnsi="宋体" w:eastAsia="宋体" w:cs="宋体"/>
                <w:color w:val="000000"/>
              </w:rPr>
              <w:t>万家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0EC3B">
            <w:pPr>
              <w:spacing w:line="360" w:lineRule="auto"/>
              <w:jc w:val="left"/>
              <w:textAlignment w:val="center"/>
              <w:rPr>
                <w:color w:val="000000"/>
              </w:rPr>
            </w:pPr>
            <w:r>
              <w:rPr>
                <w:rFonts w:ascii="宋体" w:hAnsi="宋体" w:eastAsia="宋体" w:cs="宋体"/>
                <w:color w:val="000000"/>
              </w:rPr>
              <w:t>在全国所有企业中的占比</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3CE67">
            <w:pPr>
              <w:spacing w:line="360" w:lineRule="auto"/>
              <w:jc w:val="left"/>
              <w:textAlignment w:val="center"/>
              <w:rPr>
                <w:color w:val="000000"/>
              </w:rPr>
            </w:pPr>
            <w:r>
              <w:rPr>
                <w:rFonts w:ascii="宋体" w:hAnsi="宋体" w:eastAsia="宋体" w:cs="宋体"/>
                <w:color w:val="000000"/>
              </w:rPr>
              <w:t>数量</w:t>
            </w:r>
            <w:r>
              <w:rPr>
                <w:rFonts w:ascii="Times New Roman" w:hAnsi="Times New Roman" w:eastAsia="Times New Roman" w:cs="Times New Roman"/>
                <w:color w:val="000000"/>
              </w:rPr>
              <w:t>/</w:t>
            </w:r>
            <w:r>
              <w:rPr>
                <w:rFonts w:ascii="宋体" w:hAnsi="宋体" w:eastAsia="宋体" w:cs="宋体"/>
                <w:color w:val="000000"/>
              </w:rPr>
              <w:t>万家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8D2F5">
            <w:pPr>
              <w:spacing w:line="360" w:lineRule="auto"/>
              <w:jc w:val="left"/>
              <w:textAlignment w:val="center"/>
              <w:rPr>
                <w:color w:val="000000"/>
              </w:rPr>
            </w:pPr>
            <w:r>
              <w:rPr>
                <w:rFonts w:ascii="宋体" w:hAnsi="宋体" w:eastAsia="宋体" w:cs="宋体"/>
                <w:color w:val="000000"/>
              </w:rPr>
              <w:t>在全国所有企业中的占比</w:t>
            </w:r>
            <w:r>
              <w:rPr>
                <w:rFonts w:ascii="Times New Roman" w:hAnsi="Times New Roman" w:eastAsia="Times New Roman" w:cs="Times New Roman"/>
                <w:color w:val="000000"/>
              </w:rPr>
              <w:t>/%</w:t>
            </w:r>
          </w:p>
        </w:tc>
      </w:tr>
      <w:tr w14:paraId="009F2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03A93DB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1F784">
            <w:pPr>
              <w:spacing w:line="360" w:lineRule="auto"/>
              <w:jc w:val="left"/>
              <w:textAlignment w:val="center"/>
              <w:rPr>
                <w:color w:val="000000"/>
              </w:rPr>
            </w:pPr>
            <w:r>
              <w:rPr>
                <w:rFonts w:ascii="Times New Roman" w:hAnsi="Times New Roman" w:eastAsia="Times New Roman" w:cs="Times New Roman"/>
                <w:color w:val="000000"/>
              </w:rPr>
              <w:t>1085.7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76F22">
            <w:pPr>
              <w:spacing w:line="360" w:lineRule="auto"/>
              <w:jc w:val="left"/>
              <w:textAlignment w:val="center"/>
              <w:rPr>
                <w:color w:val="000000"/>
              </w:rPr>
            </w:pPr>
            <w:r>
              <w:rPr>
                <w:rFonts w:ascii="Times New Roman" w:hAnsi="Times New Roman" w:eastAsia="Times New Roman" w:cs="Times New Roman"/>
                <w:color w:val="000000"/>
              </w:rPr>
              <w:t>79.4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83520">
            <w:pPr>
              <w:spacing w:line="360" w:lineRule="auto"/>
              <w:jc w:val="left"/>
              <w:textAlignment w:val="center"/>
              <w:rPr>
                <w:color w:val="000000"/>
              </w:rPr>
            </w:pPr>
            <w:r>
              <w:rPr>
                <w:rFonts w:ascii="Times New Roman" w:hAnsi="Times New Roman" w:eastAsia="Times New Roman" w:cs="Times New Roman"/>
                <w:color w:val="000000"/>
              </w:rPr>
              <w:t>5700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02F66">
            <w:pPr>
              <w:spacing w:line="360" w:lineRule="auto"/>
              <w:jc w:val="left"/>
              <w:textAlignment w:val="center"/>
              <w:rPr>
                <w:color w:val="000000"/>
              </w:rPr>
            </w:pPr>
            <w:r>
              <w:rPr>
                <w:rFonts w:ascii="Times New Roman" w:hAnsi="Times New Roman" w:eastAsia="Times New Roman" w:cs="Times New Roman"/>
                <w:color w:val="000000"/>
              </w:rPr>
              <w:t>91.9</w:t>
            </w:r>
          </w:p>
        </w:tc>
      </w:tr>
      <w:tr w14:paraId="6F3EE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877E0">
            <w:pPr>
              <w:spacing w:line="360" w:lineRule="auto"/>
              <w:jc w:val="left"/>
              <w:textAlignment w:val="center"/>
              <w:rPr>
                <w:color w:val="000000"/>
              </w:rPr>
            </w:pPr>
            <w:r>
              <w:rPr>
                <w:rFonts w:ascii="宋体" w:hAnsi="宋体" w:eastAsia="宋体" w:cs="宋体"/>
                <w:color w:val="000000"/>
              </w:rPr>
              <w:t>民营高新</w:t>
            </w:r>
          </w:p>
          <w:p w14:paraId="64D4C67E">
            <w:pPr>
              <w:spacing w:line="360" w:lineRule="auto"/>
              <w:jc w:val="left"/>
              <w:textAlignment w:val="center"/>
              <w:rPr>
                <w:color w:val="000000"/>
              </w:rPr>
            </w:pPr>
            <w:r>
              <w:rPr>
                <w:rFonts w:ascii="宋体" w:hAnsi="宋体" w:eastAsia="宋体" w:cs="宋体"/>
                <w:color w:val="000000"/>
              </w:rPr>
              <w:t>技术企业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63ECC5">
            <w:pPr>
              <w:spacing w:line="360" w:lineRule="auto"/>
              <w:jc w:val="left"/>
              <w:textAlignment w:val="center"/>
              <w:rPr>
                <w:color w:val="000000"/>
              </w:rPr>
            </w:pPr>
            <w:r>
              <w:rPr>
                <w:rFonts w:ascii="宋体" w:hAnsi="宋体" w:eastAsia="宋体" w:cs="宋体"/>
                <w:color w:val="000000"/>
              </w:rPr>
              <w:t>数量</w:t>
            </w:r>
            <w:r>
              <w:rPr>
                <w:rFonts w:ascii="Times New Roman" w:hAnsi="Times New Roman" w:eastAsia="Times New Roman" w:cs="Times New Roman"/>
                <w:color w:val="000000"/>
              </w:rPr>
              <w:t>/</w:t>
            </w:r>
            <w:r>
              <w:rPr>
                <w:rFonts w:ascii="宋体" w:hAnsi="宋体" w:eastAsia="宋体" w:cs="宋体"/>
                <w:color w:val="000000"/>
              </w:rPr>
              <w:t>万家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DC18E">
            <w:pPr>
              <w:spacing w:line="360" w:lineRule="auto"/>
              <w:jc w:val="left"/>
              <w:textAlignment w:val="center"/>
              <w:rPr>
                <w:color w:val="000000"/>
              </w:rPr>
            </w:pPr>
            <w:r>
              <w:rPr>
                <w:rFonts w:ascii="宋体" w:hAnsi="宋体" w:eastAsia="宋体" w:cs="宋体"/>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全国所有高新技术企业</w:t>
            </w:r>
          </w:p>
          <w:p w14:paraId="5440C0F4">
            <w:pPr>
              <w:spacing w:line="360" w:lineRule="auto"/>
              <w:jc w:val="left"/>
              <w:textAlignment w:val="center"/>
              <w:rPr>
                <w:color w:val="000000"/>
              </w:rPr>
            </w:pPr>
            <w:r>
              <w:rPr>
                <w:rFonts w:ascii="宋体" w:hAnsi="宋体" w:eastAsia="宋体" w:cs="宋体"/>
                <w:color w:val="000000"/>
              </w:rPr>
              <w:t>中的占比</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9A0BA">
            <w:pPr>
              <w:spacing w:line="360" w:lineRule="auto"/>
              <w:jc w:val="left"/>
              <w:textAlignment w:val="center"/>
              <w:rPr>
                <w:color w:val="000000"/>
              </w:rPr>
            </w:pPr>
            <w:r>
              <w:rPr>
                <w:rFonts w:ascii="宋体" w:hAnsi="宋体" w:eastAsia="宋体" w:cs="宋体"/>
                <w:color w:val="000000"/>
              </w:rPr>
              <w:t>数量</w:t>
            </w:r>
            <w:r>
              <w:rPr>
                <w:rFonts w:ascii="Times New Roman" w:hAnsi="Times New Roman" w:eastAsia="Times New Roman" w:cs="Times New Roman"/>
                <w:color w:val="000000"/>
              </w:rPr>
              <w:t>/</w:t>
            </w:r>
            <w:r>
              <w:rPr>
                <w:rFonts w:ascii="宋体" w:hAnsi="宋体" w:eastAsia="宋体" w:cs="宋体"/>
                <w:color w:val="000000"/>
              </w:rPr>
              <w:t>万家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71A04">
            <w:pPr>
              <w:spacing w:line="360" w:lineRule="auto"/>
              <w:jc w:val="left"/>
              <w:textAlignment w:val="center"/>
              <w:rPr>
                <w:color w:val="000000"/>
              </w:rPr>
            </w:pPr>
            <w:r>
              <w:rPr>
                <w:rFonts w:ascii="宋体" w:hAnsi="宋体" w:eastAsia="宋体" w:cs="宋体"/>
                <w:color w:val="000000"/>
              </w:rPr>
              <w:t>在全国所有高新技术企业</w:t>
            </w:r>
          </w:p>
          <w:p w14:paraId="15A9B9CE">
            <w:pPr>
              <w:spacing w:line="360" w:lineRule="auto"/>
              <w:jc w:val="left"/>
              <w:textAlignment w:val="center"/>
              <w:rPr>
                <w:color w:val="000000"/>
              </w:rPr>
            </w:pPr>
            <w:r>
              <w:rPr>
                <w:rFonts w:ascii="宋体" w:hAnsi="宋体" w:eastAsia="宋体" w:cs="宋体"/>
                <w:color w:val="000000"/>
              </w:rPr>
              <w:t>中的占比</w:t>
            </w:r>
            <w:r>
              <w:rPr>
                <w:rFonts w:ascii="Times New Roman" w:hAnsi="Times New Roman" w:eastAsia="Times New Roman" w:cs="Times New Roman"/>
                <w:color w:val="000000"/>
              </w:rPr>
              <w:t>/%</w:t>
            </w:r>
          </w:p>
        </w:tc>
      </w:tr>
      <w:tr w14:paraId="063D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2336B22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69C5A">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0C915">
            <w:pPr>
              <w:spacing w:line="360" w:lineRule="auto"/>
              <w:jc w:val="left"/>
              <w:textAlignment w:val="center"/>
              <w:rPr>
                <w:color w:val="000000"/>
              </w:rPr>
            </w:pPr>
            <w:r>
              <w:rPr>
                <w:rFonts w:ascii="Times New Roman" w:hAnsi="Times New Roman" w:eastAsia="Times New Roman" w:cs="Times New Roman"/>
                <w:color w:val="000000"/>
              </w:rPr>
              <w:t>62.4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32419">
            <w:pPr>
              <w:spacing w:line="360" w:lineRule="auto"/>
              <w:jc w:val="left"/>
              <w:textAlignment w:val="center"/>
              <w:rPr>
                <w:color w:val="000000"/>
              </w:rPr>
            </w:pPr>
            <w:r>
              <w:rPr>
                <w:rFonts w:ascii="Times New Roman" w:hAnsi="Times New Roman" w:eastAsia="Times New Roman" w:cs="Times New Roman"/>
                <w:color w:val="000000"/>
              </w:rPr>
              <w:t>42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AC257">
            <w:pPr>
              <w:spacing w:line="360" w:lineRule="auto"/>
              <w:jc w:val="left"/>
              <w:textAlignment w:val="center"/>
              <w:rPr>
                <w:color w:val="000000"/>
              </w:rPr>
            </w:pPr>
            <w:r>
              <w:rPr>
                <w:rFonts w:ascii="Times New Roman" w:hAnsi="Times New Roman" w:eastAsia="Times New Roman" w:cs="Times New Roman"/>
                <w:color w:val="000000"/>
              </w:rPr>
              <w:t>92</w:t>
            </w:r>
          </w:p>
        </w:tc>
      </w:tr>
    </w:tbl>
    <w:p w14:paraId="7DD0D212">
      <w:pPr>
        <w:spacing w:line="360" w:lineRule="auto"/>
        <w:jc w:val="left"/>
        <w:textAlignment w:val="center"/>
        <w:rPr>
          <w:color w:val="000000"/>
        </w:rPr>
      </w:pPr>
      <w:r>
        <w:rPr>
          <w:rFonts w:ascii="宋体" w:hAnsi="宋体" w:eastAsia="宋体" w:cs="宋体"/>
          <w:color w:val="000000"/>
        </w:rPr>
        <w:t>①民营经济是公有制经济的组成部分</w:t>
      </w:r>
    </w:p>
    <w:p w14:paraId="76687F8D">
      <w:pPr>
        <w:spacing w:line="360" w:lineRule="auto"/>
        <w:jc w:val="left"/>
        <w:textAlignment w:val="center"/>
        <w:rPr>
          <w:color w:val="000000"/>
        </w:rPr>
      </w:pPr>
      <w:r>
        <w:rPr>
          <w:rFonts w:ascii="宋体" w:hAnsi="宋体" w:eastAsia="宋体" w:cs="宋体"/>
          <w:color w:val="000000"/>
        </w:rPr>
        <w:t>②改革开放以来民营企业数量逐年增长</w:t>
      </w:r>
    </w:p>
    <w:p w14:paraId="44D5DE23">
      <w:pPr>
        <w:spacing w:line="360" w:lineRule="auto"/>
        <w:jc w:val="left"/>
        <w:textAlignment w:val="center"/>
        <w:rPr>
          <w:color w:val="000000"/>
        </w:rPr>
      </w:pPr>
      <w:r>
        <w:rPr>
          <w:rFonts w:ascii="宋体" w:hAnsi="宋体" w:eastAsia="宋体" w:cs="宋体"/>
          <w:color w:val="000000"/>
        </w:rPr>
        <w:t>③我国具有促进民营企业发展的良好条件</w:t>
      </w:r>
    </w:p>
    <w:p w14:paraId="50581809">
      <w:pPr>
        <w:spacing w:line="360" w:lineRule="auto"/>
        <w:jc w:val="left"/>
        <w:textAlignment w:val="center"/>
        <w:rPr>
          <w:color w:val="000000"/>
        </w:rPr>
      </w:pPr>
      <w:r>
        <w:rPr>
          <w:rFonts w:ascii="宋体" w:hAnsi="宋体" w:eastAsia="宋体" w:cs="宋体"/>
          <w:color w:val="000000"/>
        </w:rPr>
        <w:t>④民营企业成为推动我国科技创新的生力军</w:t>
      </w:r>
    </w:p>
    <w:p w14:paraId="2E2319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F16A89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日，国家主席习近平在会见国际工商界代表时指出，“与中国同行就是与机遇同行，相信中国就是相信明天，投资中国就是投资未来”。这一论断主要是基于（</w:t>
      </w:r>
      <w:r>
        <w:rPr>
          <w:rFonts w:ascii="Times New Roman" w:hAnsi="Times New Roman" w:eastAsia="Times New Roman" w:cs="Times New Roman"/>
          <w:color w:val="000000"/>
        </w:rPr>
        <w:t xml:space="preserve">   </w:t>
      </w:r>
      <w:r>
        <w:rPr>
          <w:rFonts w:ascii="宋体" w:hAnsi="宋体" w:eastAsia="宋体" w:cs="宋体"/>
          <w:color w:val="000000"/>
        </w:rPr>
        <w:t>）</w:t>
      </w:r>
    </w:p>
    <w:p w14:paraId="35C47FC7">
      <w:pPr>
        <w:spacing w:line="360" w:lineRule="auto"/>
        <w:jc w:val="left"/>
        <w:textAlignment w:val="center"/>
        <w:rPr>
          <w:color w:val="000000"/>
        </w:rPr>
      </w:pPr>
      <w:r>
        <w:rPr>
          <w:rFonts w:ascii="宋体" w:hAnsi="宋体" w:eastAsia="宋体" w:cs="宋体"/>
          <w:color w:val="000000"/>
        </w:rPr>
        <w:t>①我国已实现从站起来到富起来的飞跃</w:t>
      </w:r>
    </w:p>
    <w:p w14:paraId="219F72CF">
      <w:pPr>
        <w:spacing w:line="360" w:lineRule="auto"/>
        <w:jc w:val="left"/>
        <w:textAlignment w:val="center"/>
        <w:rPr>
          <w:color w:val="000000"/>
        </w:rPr>
      </w:pPr>
      <w:r>
        <w:rPr>
          <w:rFonts w:ascii="宋体" w:hAnsi="宋体" w:eastAsia="宋体" w:cs="宋体"/>
          <w:color w:val="000000"/>
        </w:rPr>
        <w:t>②我国正在全面推进中国式现代化</w:t>
      </w:r>
    </w:p>
    <w:p w14:paraId="473CFEF2">
      <w:pPr>
        <w:spacing w:line="360" w:lineRule="auto"/>
        <w:jc w:val="left"/>
        <w:textAlignment w:val="center"/>
        <w:rPr>
          <w:color w:val="000000"/>
        </w:rPr>
      </w:pPr>
      <w:r>
        <w:rPr>
          <w:rFonts w:ascii="宋体" w:hAnsi="宋体" w:eastAsia="宋体" w:cs="宋体"/>
          <w:color w:val="000000"/>
        </w:rPr>
        <w:t>③我国经济将继续保持高速增长的态势</w:t>
      </w:r>
    </w:p>
    <w:p w14:paraId="1FAEFD49">
      <w:pPr>
        <w:spacing w:line="360" w:lineRule="auto"/>
        <w:jc w:val="left"/>
        <w:textAlignment w:val="center"/>
        <w:rPr>
          <w:color w:val="000000"/>
        </w:rPr>
      </w:pPr>
      <w:r>
        <w:rPr>
          <w:rFonts w:ascii="宋体" w:hAnsi="宋体" w:eastAsia="宋体" w:cs="宋体"/>
          <w:color w:val="000000"/>
        </w:rPr>
        <w:t>④我国日益成为世界经济发展引擎</w:t>
      </w:r>
    </w:p>
    <w:p w14:paraId="1D3CBA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C536743">
      <w:pPr>
        <w:spacing w:line="360" w:lineRule="auto"/>
        <w:jc w:val="left"/>
        <w:textAlignment w:val="center"/>
        <w:rPr>
          <w:color w:val="000000"/>
        </w:rPr>
      </w:pPr>
      <w:r>
        <w:rPr>
          <w:rFonts w:ascii="宋体" w:hAnsi="宋体" w:eastAsia="宋体" w:cs="宋体"/>
          <w:b/>
          <w:color w:val="000000"/>
          <w:sz w:val="24"/>
        </w:rPr>
        <w:t>三、综合题</w:t>
      </w:r>
    </w:p>
    <w:p w14:paraId="26012EAA">
      <w:pPr>
        <w:spacing w:line="360" w:lineRule="auto"/>
        <w:ind w:firstLine="420"/>
        <w:jc w:val="left"/>
        <w:textAlignment w:val="center"/>
        <w:rPr>
          <w:color w:val="000000"/>
        </w:rPr>
      </w:pPr>
      <w:r>
        <w:rPr>
          <w:color w:val="000000"/>
        </w:rPr>
        <w:t xml:space="preserve">12. </w:t>
      </w:r>
      <w:r>
        <w:rPr>
          <w:rFonts w:ascii="楷体" w:hAnsi="楷体" w:eastAsia="楷体" w:cs="楷体"/>
          <w:color w:val="000000"/>
        </w:rPr>
        <w:t>盲盒销售因其不确定性和趣味性吸引众多消费者，也产生了诸多乱象。阅读材料，回答问题。</w:t>
      </w:r>
    </w:p>
    <w:p w14:paraId="01470FF7">
      <w:pPr>
        <w:spacing w:line="360" w:lineRule="auto"/>
        <w:ind w:firstLine="420"/>
        <w:jc w:val="left"/>
        <w:textAlignment w:val="center"/>
        <w:rPr>
          <w:color w:val="000000"/>
        </w:rPr>
      </w:pPr>
      <w:r>
        <w:rPr>
          <w:rFonts w:ascii="楷体" w:hAnsi="楷体" w:eastAsia="楷体" w:cs="楷体"/>
          <w:color w:val="000000"/>
        </w:rPr>
        <w:t>某商家推出新款数码盲盒，宣称“开出手机的概率为</w:t>
      </w:r>
      <w:r>
        <w:rPr>
          <w:rFonts w:ascii="Times New Roman" w:hAnsi="Times New Roman" w:eastAsia="Times New Roman" w:cs="Times New Roman"/>
          <w:color w:val="000000"/>
        </w:rPr>
        <w:t>1/60</w:t>
      </w:r>
      <w:r>
        <w:rPr>
          <w:rFonts w:ascii="楷体" w:hAnsi="楷体" w:eastAsia="楷体" w:cs="楷体"/>
          <w:color w:val="000000"/>
        </w:rPr>
        <w:t>”“所有产品质量上乘、安全环保”。小王花</w:t>
      </w:r>
      <w:r>
        <w:rPr>
          <w:rFonts w:ascii="Times New Roman" w:hAnsi="Times New Roman" w:eastAsia="Times New Roman" w:cs="Times New Roman"/>
          <w:color w:val="000000"/>
        </w:rPr>
        <w:t>88</w:t>
      </w:r>
      <w:r>
        <w:rPr>
          <w:rFonts w:ascii="楷体" w:hAnsi="楷体" w:eastAsia="楷体" w:cs="楷体"/>
          <w:color w:val="000000"/>
        </w:rPr>
        <w:t>元买了一个盲盒，开出一个充电宝。该充电宝在正常使用时发生爆炸，导致小王受轻伤，部分家具损坏。相关部门调查发现，该款盲盒以次充好，且开出手机的实际概率仅为</w:t>
      </w:r>
      <w:r>
        <w:rPr>
          <w:rFonts w:ascii="Times New Roman" w:hAnsi="Times New Roman" w:eastAsia="Times New Roman" w:cs="Times New Roman"/>
          <w:color w:val="000000"/>
        </w:rPr>
        <w:t>1/500</w:t>
      </w:r>
      <w:r>
        <w:rPr>
          <w:rFonts w:ascii="楷体" w:hAnsi="楷体" w:eastAsia="楷体" w:cs="楷体"/>
          <w:color w:val="000000"/>
        </w:rPr>
        <w:t>。</w:t>
      </w:r>
    </w:p>
    <w:p w14:paraId="1118FDBE">
      <w:pPr>
        <w:spacing w:line="360" w:lineRule="auto"/>
        <w:jc w:val="left"/>
        <w:textAlignment w:val="center"/>
        <w:rPr>
          <w:color w:val="000000"/>
        </w:rPr>
      </w:pPr>
      <w:r>
        <w:rPr>
          <w:color w:val="000000"/>
        </w:rPr>
        <w:drawing>
          <wp:inline distT="0" distB="0" distL="114300" distR="114300">
            <wp:extent cx="2895600" cy="2066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95600" cy="2066925"/>
                    </a:xfrm>
                    <a:prstGeom prst="rect">
                      <a:avLst/>
                    </a:prstGeom>
                  </pic:spPr>
                </pic:pic>
              </a:graphicData>
            </a:graphic>
          </wp:inline>
        </w:drawing>
      </w:r>
    </w:p>
    <w:p w14:paraId="37B034A5">
      <w:pPr>
        <w:spacing w:line="360" w:lineRule="auto"/>
        <w:jc w:val="left"/>
        <w:textAlignment w:val="center"/>
        <w:rPr>
          <w:color w:val="000000"/>
        </w:rPr>
      </w:pPr>
      <w:r>
        <w:rPr>
          <w:color w:val="000000"/>
        </w:rPr>
        <w:t>（1）</w:t>
      </w:r>
      <w:r>
        <w:rPr>
          <w:rFonts w:ascii="宋体" w:hAnsi="宋体" w:eastAsia="宋体" w:cs="宋体"/>
          <w:color w:val="000000"/>
        </w:rPr>
        <w:t>案例中商家的行为侵犯了小王的哪些权利？小王可通过哪些方式维权？</w:t>
      </w:r>
    </w:p>
    <w:p w14:paraId="511AD933">
      <w:pPr>
        <w:spacing w:line="360" w:lineRule="auto"/>
        <w:jc w:val="left"/>
        <w:textAlignment w:val="center"/>
        <w:rPr>
          <w:color w:val="000000"/>
        </w:rPr>
      </w:pPr>
      <w:r>
        <w:rPr>
          <w:color w:val="000000"/>
        </w:rPr>
        <w:t>（2）</w:t>
      </w:r>
      <w:r>
        <w:rPr>
          <w:rFonts w:ascii="宋体" w:hAnsi="宋体" w:eastAsia="宋体" w:cs="宋体"/>
          <w:color w:val="000000"/>
        </w:rPr>
        <w:t>为促进盲盒经营规范发展，针对案例中暴露</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问题，请你向商家提出合理化建议。</w:t>
      </w:r>
    </w:p>
    <w:p w14:paraId="6933FB02">
      <w:pPr>
        <w:spacing w:line="360" w:lineRule="auto"/>
        <w:jc w:val="left"/>
        <w:textAlignment w:val="center"/>
        <w:rPr>
          <w:color w:val="000000"/>
        </w:rPr>
      </w:pPr>
      <w:r>
        <w:rPr>
          <w:color w:val="000000"/>
        </w:rPr>
        <w:t xml:space="preserve">13. </w:t>
      </w:r>
      <w:r>
        <w:rPr>
          <w:rFonts w:ascii="宋体" w:hAnsi="宋体" w:eastAsia="宋体" w:cs="宋体"/>
          <w:color w:val="000000"/>
        </w:rPr>
        <w:t>中华文明具有突出的统一性，从根本上决定了中华民族即使遭遇重大挫折也牢固凝聚。实现祖国完全统一是大势所趋、大义所在、民心所向。阅读材料，回答问题。</w:t>
      </w:r>
    </w:p>
    <w:p w14:paraId="47A99344">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近代中国，饱受列强侵略。在这些侵略者中，日本军国主义者对中华民族的生存构成了最严重的威胁。明治维新后，日本走上军国主义道路，发动和参加了多次侵华战争，残酷屠杀中国人民，掠夺中国财富，侵占台湾等中国领土。经济大危机爆发后，日本为缓和国内矛盾，转嫁危机，于</w:t>
      </w:r>
      <w:r>
        <w:rPr>
          <w:rFonts w:ascii="Times New Roman" w:hAnsi="Times New Roman" w:eastAsia="Times New Roman" w:cs="Times New Roman"/>
          <w:color w:val="000000"/>
        </w:rPr>
        <w:t>1931</w:t>
      </w:r>
      <w:r>
        <w:rPr>
          <w:rFonts w:ascii="楷体" w:hAnsi="楷体" w:eastAsia="楷体" w:cs="楷体"/>
          <w:color w:val="000000"/>
        </w:rPr>
        <w:t>年发动九一八事变。从此，中国开始长达十四年的抗日战争。</w:t>
      </w:r>
    </w:p>
    <w:p w14:paraId="5D857D88">
      <w:pPr>
        <w:spacing w:line="360" w:lineRule="auto"/>
        <w:ind w:firstLine="420"/>
        <w:jc w:val="left"/>
        <w:textAlignment w:val="center"/>
        <w:rPr>
          <w:color w:val="000000"/>
        </w:rPr>
      </w:pPr>
      <w:r>
        <w:rPr>
          <w:rFonts w:ascii="楷体" w:hAnsi="楷体" w:eastAsia="楷体" w:cs="楷体"/>
          <w:color w:val="000000"/>
        </w:rPr>
        <w:t>抗日战争中，在中国共产党倡导的抗日民族统一战线旗帜下，全国人民义无反顾投身到抗击日本侵略者的洪流之中。国共两党领导的抗日军队，分别担负正面和敌后战场的作战任务，形成了共同抗击日本侵略者的战略态势。这场战争最终以日本无条件投降结束。中国人民不仅收复了九一八事变后被日本侵占的所有失地，而且光复了台湾及澎湖列岛等国土，一举洗雪了遭受日本野蛮侵略的奇耻大辱。</w:t>
      </w:r>
    </w:p>
    <w:p w14:paraId="69F574CA">
      <w:pPr>
        <w:spacing w:line="360" w:lineRule="auto"/>
        <w:ind w:firstLine="420"/>
        <w:jc w:val="right"/>
        <w:textAlignment w:val="center"/>
        <w:rPr>
          <w:color w:val="000000"/>
        </w:rPr>
      </w:pPr>
      <w:r>
        <w:rPr>
          <w:rFonts w:ascii="楷体" w:hAnsi="楷体" w:eastAsia="楷体" w:cs="楷体"/>
          <w:color w:val="000000"/>
        </w:rPr>
        <w:t>——摘编自《中国近代史》等</w:t>
      </w:r>
    </w:p>
    <w:p w14:paraId="162C1BD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p>
    <w:p w14:paraId="25201413">
      <w:pPr>
        <w:spacing w:line="360" w:lineRule="auto"/>
        <w:jc w:val="left"/>
        <w:textAlignment w:val="center"/>
        <w:rPr>
          <w:color w:val="000000"/>
        </w:rPr>
      </w:pPr>
      <w:r>
        <w:rPr>
          <w:color w:val="000000"/>
        </w:rPr>
        <w:drawing>
          <wp:inline distT="0" distB="0" distL="114300" distR="114300">
            <wp:extent cx="5219700" cy="3105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19700" cy="3105150"/>
                    </a:xfrm>
                    <a:prstGeom prst="rect">
                      <a:avLst/>
                    </a:prstGeom>
                  </pic:spPr>
                </pic:pic>
              </a:graphicData>
            </a:graphic>
          </wp:inline>
        </w:drawing>
      </w:r>
    </w:p>
    <w:p w14:paraId="7B0539FD">
      <w:pPr>
        <w:spacing w:line="360" w:lineRule="auto"/>
        <w:jc w:val="left"/>
        <w:textAlignment w:val="center"/>
        <w:rPr>
          <w:color w:val="000000"/>
        </w:rPr>
      </w:pPr>
      <w:r>
        <w:rPr>
          <w:color w:val="000000"/>
        </w:rPr>
        <w:t>（1）</w:t>
      </w:r>
      <w:r>
        <w:rPr>
          <w:rFonts w:ascii="宋体" w:hAnsi="宋体" w:eastAsia="宋体" w:cs="宋体"/>
          <w:color w:val="000000"/>
        </w:rPr>
        <w:t>根据材料二，运用所学知识，谈谈你对“实现祖国完全统一是大势所趋、大义所在、民心所向”的理解。</w:t>
      </w:r>
    </w:p>
    <w:p w14:paraId="28474652">
      <w:pPr>
        <w:spacing w:line="360" w:lineRule="auto"/>
        <w:jc w:val="left"/>
        <w:textAlignment w:val="center"/>
        <w:rPr>
          <w:color w:val="000000"/>
        </w:rPr>
      </w:pPr>
      <w:r>
        <w:rPr>
          <w:color w:val="000000"/>
        </w:rPr>
        <w:t>（2）</w:t>
      </w:r>
      <w:r>
        <w:rPr>
          <w:rFonts w:ascii="宋体" w:hAnsi="宋体" w:eastAsia="宋体" w:cs="宋体"/>
          <w:color w:val="000000"/>
        </w:rPr>
        <w:t>综合上述材料，运用所学知识，简述我国该如何书写实现祖国完全统一的伟大篇章。</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DDE3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0B58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BF7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A23D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8CCC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760B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00659E"/>
    <w:rsid w:val="298016A5"/>
    <w:rsid w:val="38274566"/>
    <w:rsid w:val="3FBF054F"/>
    <w:rsid w:val="60865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2378</Words>
  <Characters>2505</Characters>
  <Lines>0</Lines>
  <Paragraphs>0</Paragraphs>
  <TotalTime>5</TotalTime>
  <ScaleCrop>false</ScaleCrop>
  <LinksUpToDate>false</LinksUpToDate>
  <CharactersWithSpaces>2608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2025-07-24T20:30:00Z</dcterms:created>
  <dc:creator>学科网试题生产平台</dc:creator>
  <dc:description>3803891695968256</dc:description>
  <cp:lastModifiedBy>上帝掷骰子吗</cp:lastModifiedBy>
  <dcterms:modified xsi:type="dcterms:W3CDTF">2026-02-09T06:17:18Z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470B1253BCEB46428989A51DE66F5798_12</vt:lpwstr>
  </property>
  <property fmtid="{D5CDD505-2E9C-101B-9397-08002B2CF9AE}" pid="8" name="KSOTemplateDocerSaveRecord">
    <vt:lpwstr>eyJoZGlkIjoiMjljNjk0N2RhMTc0NzI3ZTQwZWEyZWMyMzA2NzliMDQiLCJ1c2VySWQiOiI3ODUwOTA2ODcifQ==</vt:lpwstr>
  </property>
</Properties>
</file>